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textAlignment w:val="baseline"/>
        <w:rPr>
          <w:rFonts w:ascii="仿宋_GB2312" w:hAnsi="仿宋_GB2312" w:eastAsia="仿宋_GB2312" w:cs="仿宋_GB2312"/>
          <w:sz w:val="32"/>
          <w:szCs w:val="32"/>
        </w:rPr>
      </w:pPr>
    </w:p>
    <w:p>
      <w:pPr>
        <w:pStyle w:val="23"/>
        <w:snapToGrid w:val="0"/>
        <w:jc w:val="both"/>
        <w:textAlignment w:val="baseline"/>
      </w:pPr>
    </w:p>
    <w:p>
      <w:pPr>
        <w:snapToGrid w:val="0"/>
        <w:spacing w:line="560" w:lineRule="exact"/>
        <w:jc w:val="left"/>
        <w:textAlignment w:val="baseline"/>
        <w:rPr>
          <w:rFonts w:ascii="仿宋_GB2312" w:hAnsi="仿宋_GB2312" w:eastAsia="仿宋_GB2312" w:cs="仿宋_GB2312"/>
          <w:sz w:val="32"/>
          <w:szCs w:val="32"/>
        </w:rPr>
      </w:pPr>
    </w:p>
    <w:p>
      <w:pPr>
        <w:snapToGrid w:val="0"/>
        <w:spacing w:line="700" w:lineRule="exact"/>
        <w:ind w:right="-85"/>
        <w:jc w:val="center"/>
        <w:textAlignment w:val="baseline"/>
        <w:rPr>
          <w:rFonts w:ascii="方正小标宋简体" w:hAnsi="方正小标宋简体" w:eastAsia="方正小标宋简体" w:cs="方正小标宋简体"/>
          <w:sz w:val="48"/>
          <w:szCs w:val="48"/>
        </w:rPr>
      </w:pPr>
      <w:bookmarkStart w:id="0" w:name="_Toc16113"/>
      <w:bookmarkStart w:id="1" w:name="_Toc23700"/>
      <w:bookmarkStart w:id="2" w:name="_Toc18038"/>
      <w:bookmarkStart w:id="3" w:name="_Toc12114"/>
      <w:bookmarkStart w:id="4" w:name="_Toc14076"/>
      <w:bookmarkStart w:id="5" w:name="_Toc6229"/>
      <w:bookmarkStart w:id="6" w:name="_Toc75860051"/>
      <w:bookmarkStart w:id="7" w:name="_Toc26050"/>
      <w:bookmarkStart w:id="8" w:name="_Toc21888"/>
      <w:bookmarkStart w:id="9" w:name="_Toc7251"/>
      <w:bookmarkStart w:id="10" w:name="_Toc16265"/>
      <w:bookmarkStart w:id="11" w:name="_Toc5940"/>
      <w:bookmarkStart w:id="12" w:name="_Toc762"/>
      <w:bookmarkStart w:id="13" w:name="_Toc15690"/>
      <w:bookmarkStart w:id="14" w:name="_Toc90584018"/>
      <w:bookmarkStart w:id="15" w:name="_Toc22551"/>
      <w:r>
        <w:rPr>
          <w:rFonts w:hint="eastAsia" w:ascii="方正小标宋简体" w:hAnsi="方正小标宋简体" w:eastAsia="方正小标宋简体" w:cs="方正小标宋简体"/>
          <w:sz w:val="48"/>
          <w:szCs w:val="48"/>
        </w:rPr>
        <w:t>黔南州“十四五”</w:t>
      </w:r>
      <w:bookmarkEnd w:id="0"/>
      <w:bookmarkEnd w:id="1"/>
      <w:bookmarkEnd w:id="2"/>
      <w:bookmarkEnd w:id="3"/>
      <w:bookmarkEnd w:id="4"/>
      <w:bookmarkEnd w:id="5"/>
      <w:bookmarkEnd w:id="6"/>
      <w:bookmarkEnd w:id="7"/>
      <w:bookmarkEnd w:id="8"/>
      <w:bookmarkEnd w:id="9"/>
      <w:bookmarkEnd w:id="10"/>
      <w:bookmarkStart w:id="16" w:name="_Toc26265"/>
      <w:bookmarkStart w:id="17" w:name="_Toc3058"/>
      <w:bookmarkStart w:id="18" w:name="_Toc4577"/>
      <w:bookmarkStart w:id="19" w:name="_Toc14685"/>
      <w:bookmarkStart w:id="20" w:name="_Toc1295"/>
      <w:bookmarkStart w:id="21" w:name="_Toc5866"/>
      <w:bookmarkStart w:id="22" w:name="_Toc19785"/>
      <w:bookmarkStart w:id="23" w:name="_Toc23784"/>
      <w:bookmarkStart w:id="24" w:name="_Toc6871"/>
      <w:bookmarkStart w:id="25" w:name="_Toc9177"/>
      <w:bookmarkStart w:id="26" w:name="_Toc75860052"/>
      <w:r>
        <w:rPr>
          <w:rFonts w:hint="eastAsia" w:ascii="方正小标宋简体" w:hAnsi="方正小标宋简体" w:eastAsia="方正小标宋简体" w:cs="方正小标宋简体"/>
          <w:sz w:val="48"/>
          <w:szCs w:val="48"/>
        </w:rPr>
        <w:t>人力资源和社会保障</w:t>
      </w:r>
      <w:bookmarkEnd w:id="11"/>
      <w:bookmarkEnd w:id="12"/>
      <w:bookmarkEnd w:id="13"/>
      <w:bookmarkEnd w:id="14"/>
      <w:bookmarkEnd w:id="15"/>
    </w:p>
    <w:p>
      <w:pPr>
        <w:snapToGrid w:val="0"/>
        <w:spacing w:line="700" w:lineRule="exact"/>
        <w:ind w:right="-85"/>
        <w:jc w:val="center"/>
        <w:textAlignment w:val="baseline"/>
        <w:rPr>
          <w:rFonts w:hint="eastAsia" w:ascii="方正小标宋简体" w:hAnsi="方正小标宋简体" w:eastAsia="方正小标宋简体" w:cs="方正小标宋简体"/>
          <w:sz w:val="36"/>
          <w:szCs w:val="36"/>
          <w:lang w:eastAsia="zh-CN"/>
        </w:rPr>
      </w:pPr>
      <w:bookmarkStart w:id="27" w:name="_Toc25420"/>
      <w:bookmarkStart w:id="28" w:name="_Toc30531"/>
      <w:bookmarkStart w:id="29" w:name="_Toc90584019"/>
      <w:bookmarkStart w:id="30" w:name="_Toc32188"/>
      <w:bookmarkStart w:id="31" w:name="_Toc31958"/>
      <w:r>
        <w:rPr>
          <w:rFonts w:hint="eastAsia" w:ascii="方正小标宋简体" w:hAnsi="方正小标宋简体" w:eastAsia="方正小标宋简体" w:cs="方正小标宋简体"/>
          <w:sz w:val="48"/>
          <w:szCs w:val="48"/>
        </w:rPr>
        <w:t>事业发展专项规划</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snapToGrid w:val="0"/>
        <w:spacing w:line="560" w:lineRule="exact"/>
        <w:jc w:val="center"/>
        <w:textAlignment w:val="baseline"/>
        <w:rPr>
          <w:rFonts w:ascii="方正小标宋简体" w:hAnsi="方正小标宋简体" w:eastAsia="方正小标宋简体" w:cs="方正小标宋简体"/>
          <w:sz w:val="32"/>
          <w:szCs w:val="32"/>
        </w:rPr>
      </w:pPr>
    </w:p>
    <w:p>
      <w:pPr>
        <w:snapToGrid w:val="0"/>
        <w:spacing w:line="560" w:lineRule="exact"/>
        <w:jc w:val="left"/>
        <w:textAlignment w:val="baseline"/>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32"/>
          <w:szCs w:val="32"/>
          <w:lang w:val="en-US" w:eastAsia="zh-CN"/>
        </w:rPr>
        <w:t xml:space="preserve"> </w:t>
      </w: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pStyle w:val="23"/>
        <w:snapToGrid w:val="0"/>
        <w:textAlignment w:val="baseline"/>
        <w:rPr>
          <w:rFonts w:ascii="仿宋_GB2312" w:hAnsi="仿宋_GB2312" w:eastAsia="仿宋_GB2312" w:cs="仿宋_GB2312"/>
        </w:rPr>
      </w:pPr>
    </w:p>
    <w:p>
      <w:pPr>
        <w:snapToGrid w:val="0"/>
        <w:textAlignment w:val="baseline"/>
        <w:rPr>
          <w:rFonts w:eastAsia="仿宋_GB2312"/>
          <w:sz w:val="20"/>
        </w:rPr>
      </w:pPr>
    </w:p>
    <w:p>
      <w:pPr>
        <w:pStyle w:val="23"/>
        <w:snapToGrid w:val="0"/>
        <w:textAlignment w:val="baseline"/>
      </w:pPr>
    </w:p>
    <w:p>
      <w:pPr>
        <w:snapToGrid w:val="0"/>
        <w:textAlignment w:val="baseline"/>
        <w:rPr>
          <w:rFonts w:eastAsia="仿宋_GB2312"/>
          <w:sz w:val="20"/>
        </w:rPr>
      </w:pPr>
    </w:p>
    <w:p>
      <w:pPr>
        <w:snapToGrid w:val="0"/>
        <w:textAlignment w:val="baseline"/>
        <w:rPr>
          <w:rFonts w:eastAsia="宋体"/>
          <w:sz w:val="20"/>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jc w:val="left"/>
        <w:textAlignment w:val="baseline"/>
        <w:rPr>
          <w:rFonts w:ascii="仿宋_GB2312" w:hAnsi="仿宋_GB2312" w:eastAsia="仿宋_GB2312" w:cs="仿宋_GB2312"/>
          <w:sz w:val="32"/>
          <w:szCs w:val="32"/>
        </w:rPr>
      </w:pPr>
    </w:p>
    <w:p>
      <w:pPr>
        <w:snapToGrid w:val="0"/>
        <w:spacing w:line="560" w:lineRule="exact"/>
        <w:ind w:right="-30"/>
        <w:jc w:val="center"/>
        <w:textAlignment w:val="baseline"/>
        <w:rPr>
          <w:rFonts w:eastAsia="楷体_GB2312"/>
          <w:b w:val="0"/>
          <w:bCs w:val="0"/>
          <w:sz w:val="44"/>
          <w:szCs w:val="44"/>
        </w:rPr>
      </w:pPr>
      <w:bookmarkStart w:id="32" w:name="_Toc90584020"/>
      <w:bookmarkStart w:id="33" w:name="_Toc5793"/>
      <w:bookmarkStart w:id="34" w:name="_Toc17668"/>
      <w:bookmarkStart w:id="35" w:name="_Toc25213"/>
      <w:bookmarkStart w:id="36" w:name="_Toc1169"/>
      <w:bookmarkStart w:id="37" w:name="_Toc19932"/>
      <w:bookmarkStart w:id="38" w:name="_Toc1047"/>
      <w:bookmarkStart w:id="39" w:name="_Toc3598"/>
      <w:bookmarkStart w:id="40" w:name="_Toc24022"/>
      <w:bookmarkStart w:id="41" w:name="_Toc8602"/>
      <w:bookmarkStart w:id="42" w:name="_Toc25109"/>
      <w:bookmarkStart w:id="43" w:name="_Toc75860054"/>
      <w:bookmarkStart w:id="44" w:name="_Toc22604"/>
      <w:bookmarkStart w:id="45" w:name="_Toc32012"/>
      <w:bookmarkStart w:id="46" w:name="_Toc886"/>
      <w:bookmarkStart w:id="47" w:name="_Toc2822"/>
      <w:r>
        <w:rPr>
          <w:rFonts w:eastAsia="楷体_GB2312"/>
          <w:b w:val="0"/>
          <w:bCs w:val="0"/>
          <w:sz w:val="44"/>
          <w:szCs w:val="44"/>
        </w:rPr>
        <w:t>202</w:t>
      </w:r>
      <w:r>
        <w:rPr>
          <w:rFonts w:hint="eastAsia" w:eastAsia="楷体_GB2312"/>
          <w:b w:val="0"/>
          <w:bCs w:val="0"/>
          <w:sz w:val="44"/>
          <w:szCs w:val="44"/>
          <w:lang w:val="en-US" w:eastAsia="zh-CN"/>
        </w:rPr>
        <w:t>2</w:t>
      </w:r>
      <w:r>
        <w:rPr>
          <w:rFonts w:eastAsia="楷体_GB2312"/>
          <w:b w:val="0"/>
          <w:bCs w:val="0"/>
          <w:sz w:val="44"/>
          <w:szCs w:val="44"/>
        </w:rPr>
        <w:t>年</w:t>
      </w:r>
      <w:r>
        <w:rPr>
          <w:rFonts w:hint="eastAsia" w:eastAsia="楷体_GB2312"/>
          <w:b w:val="0"/>
          <w:bCs w:val="0"/>
          <w:sz w:val="44"/>
          <w:szCs w:val="44"/>
          <w:lang w:val="en-US" w:eastAsia="zh-CN"/>
        </w:rPr>
        <w:t>3</w:t>
      </w:r>
      <w:r>
        <w:rPr>
          <w:rFonts w:eastAsia="楷体_GB2312"/>
          <w:b w:val="0"/>
          <w:bCs w:val="0"/>
          <w:sz w:val="44"/>
          <w:szCs w:val="44"/>
        </w:rPr>
        <w:t>月</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napToGrid w:val="0"/>
        <w:jc w:val="left"/>
        <w:textAlignment w:val="baseline"/>
        <w:rPr>
          <w:kern w:val="0"/>
          <w:sz w:val="44"/>
          <w:szCs w:val="44"/>
        </w:rPr>
        <w:sectPr>
          <w:footerReference r:id="rId3" w:type="default"/>
          <w:pgSz w:w="11905" w:h="16838"/>
          <w:pgMar w:top="1814" w:right="1587" w:bottom="1701" w:left="1587" w:header="720" w:footer="720" w:gutter="0"/>
          <w:pgNumType w:fmt="numberInDash"/>
          <w:cols w:space="0" w:num="1"/>
          <w:titlePg/>
          <w:docGrid w:linePitch="286" w:charSpace="0"/>
        </w:sectPr>
      </w:pPr>
    </w:p>
    <w:p>
      <w:pPr>
        <w:snapToGrid w:val="0"/>
        <w:spacing w:line="360" w:lineRule="auto"/>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_Toc30962 </w:instrText>
      </w:r>
      <w:r>
        <w:rPr>
          <w:rFonts w:hint="eastAsia" w:ascii="宋体" w:hAnsi="宋体" w:eastAsia="宋体" w:cs="宋体"/>
          <w:sz w:val="28"/>
          <w:szCs w:val="28"/>
        </w:rPr>
        <w:fldChar w:fldCharType="separate"/>
      </w:r>
      <w:r>
        <w:rPr>
          <w:rFonts w:hint="eastAsia" w:ascii="方正小标宋简体" w:eastAsia="方正小标宋简体"/>
          <w:sz w:val="28"/>
          <w:szCs w:val="28"/>
        </w:rPr>
        <w:t>前   言</w:t>
      </w:r>
      <w:r>
        <w:rPr>
          <w:sz w:val="28"/>
          <w:szCs w:val="28"/>
        </w:rPr>
        <w:tab/>
      </w:r>
      <w:r>
        <w:rPr>
          <w:sz w:val="28"/>
          <w:szCs w:val="28"/>
        </w:rPr>
        <w:fldChar w:fldCharType="begin"/>
      </w:r>
      <w:r>
        <w:rPr>
          <w:sz w:val="28"/>
          <w:szCs w:val="28"/>
        </w:rPr>
        <w:instrText xml:space="preserve"> PAGEREF _Toc30962 \h </w:instrText>
      </w:r>
      <w:r>
        <w:rPr>
          <w:sz w:val="28"/>
          <w:szCs w:val="28"/>
        </w:rPr>
        <w:fldChar w:fldCharType="separate"/>
      </w:r>
      <w:r>
        <w:rPr>
          <w:sz w:val="28"/>
          <w:szCs w:val="28"/>
        </w:rPr>
        <w:t>- 1 -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_Toc7818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第一章 发展基础与面临形势</w:t>
      </w:r>
      <w:r>
        <w:rPr>
          <w:sz w:val="28"/>
          <w:szCs w:val="28"/>
        </w:rPr>
        <w:tab/>
      </w:r>
      <w:r>
        <w:rPr>
          <w:sz w:val="28"/>
          <w:szCs w:val="28"/>
        </w:rPr>
        <w:fldChar w:fldCharType="begin"/>
      </w:r>
      <w:r>
        <w:rPr>
          <w:sz w:val="28"/>
          <w:szCs w:val="28"/>
        </w:rPr>
        <w:instrText xml:space="preserve"> PAGEREF _Toc7818 \h </w:instrText>
      </w:r>
      <w:r>
        <w:rPr>
          <w:sz w:val="28"/>
          <w:szCs w:val="28"/>
        </w:rPr>
        <w:fldChar w:fldCharType="separate"/>
      </w:r>
      <w:r>
        <w:rPr>
          <w:sz w:val="28"/>
          <w:szCs w:val="28"/>
        </w:rPr>
        <w:t>- 2 -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_Toc29312 </w:instrText>
      </w:r>
      <w:r>
        <w:rPr>
          <w:rFonts w:hint="eastAsia" w:ascii="宋体" w:hAnsi="宋体" w:eastAsia="宋体" w:cs="宋体"/>
          <w:sz w:val="28"/>
          <w:szCs w:val="28"/>
        </w:rPr>
        <w:fldChar w:fldCharType="separate"/>
      </w:r>
      <w:r>
        <w:rPr>
          <w:rFonts w:hint="eastAsia"/>
          <w:sz w:val="28"/>
          <w:szCs w:val="28"/>
        </w:rPr>
        <w:t>第一节 发展基础</w:t>
      </w:r>
      <w:r>
        <w:rPr>
          <w:sz w:val="28"/>
          <w:szCs w:val="28"/>
        </w:rPr>
        <w:tab/>
      </w:r>
      <w:r>
        <w:rPr>
          <w:sz w:val="28"/>
          <w:szCs w:val="28"/>
        </w:rPr>
        <w:fldChar w:fldCharType="begin"/>
      </w:r>
      <w:r>
        <w:rPr>
          <w:sz w:val="28"/>
          <w:szCs w:val="28"/>
        </w:rPr>
        <w:instrText xml:space="preserve"> PAGEREF _Toc29312 \h </w:instrText>
      </w:r>
      <w:r>
        <w:rPr>
          <w:sz w:val="28"/>
          <w:szCs w:val="28"/>
        </w:rPr>
        <w:fldChar w:fldCharType="separate"/>
      </w:r>
      <w:r>
        <w:rPr>
          <w:sz w:val="28"/>
          <w:szCs w:val="28"/>
        </w:rPr>
        <w:t>- 2 -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_Toc3322 </w:instrText>
      </w:r>
      <w:r>
        <w:rPr>
          <w:rFonts w:hint="eastAsia" w:ascii="宋体" w:hAnsi="宋体" w:eastAsia="宋体" w:cs="宋体"/>
          <w:sz w:val="28"/>
          <w:szCs w:val="28"/>
        </w:rPr>
        <w:fldChar w:fldCharType="separate"/>
      </w:r>
      <w:r>
        <w:rPr>
          <w:rFonts w:hint="eastAsia"/>
          <w:sz w:val="28"/>
          <w:szCs w:val="28"/>
        </w:rPr>
        <w:t>第二节 面临形势</w:t>
      </w:r>
      <w:r>
        <w:rPr>
          <w:sz w:val="28"/>
          <w:szCs w:val="28"/>
        </w:rPr>
        <w:tab/>
      </w:r>
      <w:r>
        <w:rPr>
          <w:sz w:val="28"/>
          <w:szCs w:val="28"/>
        </w:rPr>
        <w:fldChar w:fldCharType="begin"/>
      </w:r>
      <w:r>
        <w:rPr>
          <w:sz w:val="28"/>
          <w:szCs w:val="28"/>
        </w:rPr>
        <w:instrText xml:space="preserve"> PAGEREF _Toc3322 \h </w:instrText>
      </w:r>
      <w:r>
        <w:rPr>
          <w:sz w:val="28"/>
          <w:szCs w:val="28"/>
        </w:rPr>
        <w:fldChar w:fldCharType="separate"/>
      </w:r>
      <w:r>
        <w:rPr>
          <w:sz w:val="28"/>
          <w:szCs w:val="28"/>
        </w:rPr>
        <w:t>- 8 -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_Toc6551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第二章 指导思想和总体要求</w:t>
      </w:r>
      <w:r>
        <w:rPr>
          <w:sz w:val="28"/>
          <w:szCs w:val="28"/>
        </w:rPr>
        <w:tab/>
      </w:r>
      <w:r>
        <w:rPr>
          <w:sz w:val="28"/>
          <w:szCs w:val="28"/>
        </w:rPr>
        <w:fldChar w:fldCharType="begin"/>
      </w:r>
      <w:r>
        <w:rPr>
          <w:sz w:val="28"/>
          <w:szCs w:val="28"/>
        </w:rPr>
        <w:instrText xml:space="preserve"> PAGEREF _Toc6551 \h </w:instrText>
      </w:r>
      <w:r>
        <w:rPr>
          <w:sz w:val="28"/>
          <w:szCs w:val="28"/>
        </w:rPr>
        <w:fldChar w:fldCharType="separate"/>
      </w:r>
      <w:r>
        <w:rPr>
          <w:sz w:val="28"/>
          <w:szCs w:val="28"/>
        </w:rPr>
        <w:t>- 12 -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_Toc10308 </w:instrText>
      </w:r>
      <w:r>
        <w:rPr>
          <w:rFonts w:hint="eastAsia" w:ascii="宋体" w:hAnsi="宋体" w:eastAsia="宋体" w:cs="宋体"/>
          <w:sz w:val="28"/>
          <w:szCs w:val="28"/>
        </w:rPr>
        <w:fldChar w:fldCharType="separate"/>
      </w:r>
      <w:r>
        <w:rPr>
          <w:rFonts w:hint="eastAsia"/>
          <w:sz w:val="28"/>
          <w:szCs w:val="28"/>
        </w:rPr>
        <w:t>第一节 指导思想</w:t>
      </w:r>
      <w:r>
        <w:rPr>
          <w:sz w:val="28"/>
          <w:szCs w:val="28"/>
        </w:rPr>
        <w:tab/>
      </w:r>
      <w:r>
        <w:rPr>
          <w:sz w:val="28"/>
          <w:szCs w:val="28"/>
        </w:rPr>
        <w:fldChar w:fldCharType="begin"/>
      </w:r>
      <w:r>
        <w:rPr>
          <w:sz w:val="28"/>
          <w:szCs w:val="28"/>
        </w:rPr>
        <w:instrText xml:space="preserve"> PAGEREF _Toc10308 \h </w:instrText>
      </w:r>
      <w:r>
        <w:rPr>
          <w:sz w:val="28"/>
          <w:szCs w:val="28"/>
        </w:rPr>
        <w:fldChar w:fldCharType="separate"/>
      </w:r>
      <w:r>
        <w:rPr>
          <w:sz w:val="28"/>
          <w:szCs w:val="28"/>
        </w:rPr>
        <w:t>- 12 -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_Toc10918 </w:instrText>
      </w:r>
      <w:r>
        <w:rPr>
          <w:rFonts w:hint="eastAsia" w:ascii="宋体" w:hAnsi="宋体" w:eastAsia="宋体" w:cs="宋体"/>
          <w:sz w:val="28"/>
          <w:szCs w:val="28"/>
        </w:rPr>
        <w:fldChar w:fldCharType="separate"/>
      </w:r>
      <w:r>
        <w:rPr>
          <w:rFonts w:hint="eastAsia"/>
          <w:sz w:val="28"/>
          <w:szCs w:val="28"/>
        </w:rPr>
        <w:t>第二节 基本原则</w:t>
      </w:r>
      <w:r>
        <w:rPr>
          <w:sz w:val="28"/>
          <w:szCs w:val="28"/>
        </w:rPr>
        <w:tab/>
      </w:r>
      <w:r>
        <w:rPr>
          <w:sz w:val="28"/>
          <w:szCs w:val="28"/>
        </w:rPr>
        <w:fldChar w:fldCharType="begin"/>
      </w:r>
      <w:r>
        <w:rPr>
          <w:sz w:val="28"/>
          <w:szCs w:val="28"/>
        </w:rPr>
        <w:instrText xml:space="preserve"> PAGEREF _Toc10918 \h </w:instrText>
      </w:r>
      <w:r>
        <w:rPr>
          <w:sz w:val="28"/>
          <w:szCs w:val="28"/>
        </w:rPr>
        <w:fldChar w:fldCharType="separate"/>
      </w:r>
      <w:r>
        <w:rPr>
          <w:sz w:val="28"/>
          <w:szCs w:val="28"/>
        </w:rPr>
        <w:t>- 12 -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_Toc29812 </w:instrText>
      </w:r>
      <w:r>
        <w:rPr>
          <w:rFonts w:hint="eastAsia" w:ascii="宋体" w:hAnsi="宋体" w:eastAsia="宋体" w:cs="宋体"/>
          <w:sz w:val="28"/>
          <w:szCs w:val="28"/>
        </w:rPr>
        <w:fldChar w:fldCharType="separate"/>
      </w:r>
      <w:r>
        <w:rPr>
          <w:rFonts w:hint="eastAsia"/>
          <w:sz w:val="28"/>
          <w:szCs w:val="28"/>
        </w:rPr>
        <w:t>第三节 主要目标</w:t>
      </w:r>
      <w:r>
        <w:rPr>
          <w:sz w:val="28"/>
          <w:szCs w:val="28"/>
        </w:rPr>
        <w:tab/>
      </w:r>
      <w:r>
        <w:rPr>
          <w:sz w:val="28"/>
          <w:szCs w:val="28"/>
        </w:rPr>
        <w:fldChar w:fldCharType="begin"/>
      </w:r>
      <w:r>
        <w:rPr>
          <w:sz w:val="28"/>
          <w:szCs w:val="28"/>
        </w:rPr>
        <w:instrText xml:space="preserve"> PAGEREF _Toc29812 \h </w:instrText>
      </w:r>
      <w:r>
        <w:rPr>
          <w:sz w:val="28"/>
          <w:szCs w:val="28"/>
        </w:rPr>
        <w:fldChar w:fldCharType="separate"/>
      </w:r>
      <w:r>
        <w:rPr>
          <w:sz w:val="28"/>
          <w:szCs w:val="28"/>
        </w:rPr>
        <w:t>- 14 -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_Toc3979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第三章 推进更加充分更高质量就业</w:t>
      </w:r>
      <w:r>
        <w:rPr>
          <w:sz w:val="28"/>
          <w:szCs w:val="28"/>
        </w:rPr>
        <w:tab/>
      </w:r>
      <w:r>
        <w:rPr>
          <w:sz w:val="28"/>
          <w:szCs w:val="28"/>
        </w:rPr>
        <w:fldChar w:fldCharType="begin"/>
      </w:r>
      <w:r>
        <w:rPr>
          <w:sz w:val="28"/>
          <w:szCs w:val="28"/>
        </w:rPr>
        <w:instrText xml:space="preserve"> PAGEREF _Toc3979 \h </w:instrText>
      </w:r>
      <w:r>
        <w:rPr>
          <w:sz w:val="28"/>
          <w:szCs w:val="28"/>
        </w:rPr>
        <w:fldChar w:fldCharType="separate"/>
      </w:r>
      <w:r>
        <w:rPr>
          <w:sz w:val="28"/>
          <w:szCs w:val="28"/>
        </w:rPr>
        <w:t>- 19 -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_Toc1278 </w:instrText>
      </w:r>
      <w:r>
        <w:rPr>
          <w:rFonts w:hint="eastAsia" w:ascii="宋体" w:hAnsi="宋体" w:eastAsia="宋体" w:cs="宋体"/>
          <w:sz w:val="28"/>
          <w:szCs w:val="28"/>
        </w:rPr>
        <w:fldChar w:fldCharType="separate"/>
      </w:r>
      <w:r>
        <w:rPr>
          <w:rFonts w:hint="eastAsia"/>
          <w:sz w:val="28"/>
          <w:szCs w:val="28"/>
        </w:rPr>
        <w:t>第一节 积极实施就业优先政策</w:t>
      </w:r>
      <w:r>
        <w:rPr>
          <w:sz w:val="28"/>
          <w:szCs w:val="28"/>
        </w:rPr>
        <w:tab/>
      </w:r>
      <w:r>
        <w:rPr>
          <w:sz w:val="28"/>
          <w:szCs w:val="28"/>
        </w:rPr>
        <w:fldChar w:fldCharType="begin"/>
      </w:r>
      <w:r>
        <w:rPr>
          <w:sz w:val="28"/>
          <w:szCs w:val="28"/>
        </w:rPr>
        <w:instrText xml:space="preserve"> PAGEREF _Toc1278 \h </w:instrText>
      </w:r>
      <w:r>
        <w:rPr>
          <w:sz w:val="28"/>
          <w:szCs w:val="28"/>
        </w:rPr>
        <w:fldChar w:fldCharType="separate"/>
      </w:r>
      <w:r>
        <w:rPr>
          <w:sz w:val="28"/>
          <w:szCs w:val="28"/>
        </w:rPr>
        <w:t>- 19 -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_Toc12497 </w:instrText>
      </w:r>
      <w:r>
        <w:rPr>
          <w:rFonts w:hint="eastAsia" w:ascii="宋体" w:hAnsi="宋体" w:eastAsia="宋体" w:cs="宋体"/>
          <w:sz w:val="28"/>
          <w:szCs w:val="28"/>
        </w:rPr>
        <w:fldChar w:fldCharType="separate"/>
      </w:r>
      <w:r>
        <w:rPr>
          <w:rFonts w:hint="eastAsia"/>
          <w:sz w:val="28"/>
          <w:szCs w:val="28"/>
        </w:rPr>
        <w:t>第二节 优化发展环境促进就业</w:t>
      </w:r>
      <w:r>
        <w:rPr>
          <w:sz w:val="28"/>
          <w:szCs w:val="28"/>
        </w:rPr>
        <w:tab/>
      </w:r>
      <w:r>
        <w:rPr>
          <w:sz w:val="28"/>
          <w:szCs w:val="28"/>
        </w:rPr>
        <w:fldChar w:fldCharType="begin"/>
      </w:r>
      <w:r>
        <w:rPr>
          <w:sz w:val="28"/>
          <w:szCs w:val="28"/>
        </w:rPr>
        <w:instrText xml:space="preserve"> PAGEREF _Toc12497 \h </w:instrText>
      </w:r>
      <w:r>
        <w:rPr>
          <w:sz w:val="28"/>
          <w:szCs w:val="28"/>
        </w:rPr>
        <w:fldChar w:fldCharType="separate"/>
      </w:r>
      <w:r>
        <w:rPr>
          <w:sz w:val="28"/>
          <w:szCs w:val="28"/>
        </w:rPr>
        <w:t>- 23 -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_Toc1159 </w:instrText>
      </w:r>
      <w:r>
        <w:rPr>
          <w:rFonts w:hint="eastAsia" w:ascii="宋体" w:hAnsi="宋体" w:eastAsia="宋体" w:cs="宋体"/>
          <w:sz w:val="28"/>
          <w:szCs w:val="28"/>
        </w:rPr>
        <w:fldChar w:fldCharType="separate"/>
      </w:r>
      <w:r>
        <w:rPr>
          <w:rFonts w:hint="eastAsia"/>
          <w:sz w:val="28"/>
          <w:szCs w:val="28"/>
        </w:rPr>
        <w:t>第三节 推进“四化”建设扩大就业</w:t>
      </w:r>
      <w:r>
        <w:rPr>
          <w:sz w:val="28"/>
          <w:szCs w:val="28"/>
        </w:rPr>
        <w:tab/>
      </w:r>
      <w:r>
        <w:rPr>
          <w:sz w:val="28"/>
          <w:szCs w:val="28"/>
        </w:rPr>
        <w:fldChar w:fldCharType="begin"/>
      </w:r>
      <w:r>
        <w:rPr>
          <w:sz w:val="28"/>
          <w:szCs w:val="28"/>
        </w:rPr>
        <w:instrText xml:space="preserve"> PAGEREF _Toc1159 \h </w:instrText>
      </w:r>
      <w:r>
        <w:rPr>
          <w:sz w:val="28"/>
          <w:szCs w:val="28"/>
        </w:rPr>
        <w:fldChar w:fldCharType="separate"/>
      </w:r>
      <w:r>
        <w:rPr>
          <w:sz w:val="28"/>
          <w:szCs w:val="28"/>
        </w:rPr>
        <w:t>- 26 -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_Toc20680 </w:instrText>
      </w:r>
      <w:r>
        <w:rPr>
          <w:rFonts w:hint="eastAsia" w:ascii="宋体" w:hAnsi="宋体" w:eastAsia="宋体" w:cs="宋体"/>
          <w:sz w:val="28"/>
          <w:szCs w:val="28"/>
        </w:rPr>
        <w:fldChar w:fldCharType="separate"/>
      </w:r>
      <w:r>
        <w:rPr>
          <w:rFonts w:hint="eastAsia"/>
          <w:sz w:val="28"/>
          <w:szCs w:val="28"/>
        </w:rPr>
        <w:t>第四节 强化提升就业服务水平</w:t>
      </w:r>
      <w:r>
        <w:rPr>
          <w:sz w:val="28"/>
          <w:szCs w:val="28"/>
        </w:rPr>
        <w:tab/>
      </w:r>
      <w:r>
        <w:rPr>
          <w:sz w:val="28"/>
          <w:szCs w:val="28"/>
        </w:rPr>
        <w:fldChar w:fldCharType="begin"/>
      </w:r>
      <w:r>
        <w:rPr>
          <w:sz w:val="28"/>
          <w:szCs w:val="28"/>
        </w:rPr>
        <w:instrText xml:space="preserve"> PAGEREF _Toc20680 \h </w:instrText>
      </w:r>
      <w:r>
        <w:rPr>
          <w:sz w:val="28"/>
          <w:szCs w:val="28"/>
        </w:rPr>
        <w:fldChar w:fldCharType="separate"/>
      </w:r>
      <w:r>
        <w:rPr>
          <w:sz w:val="28"/>
          <w:szCs w:val="28"/>
        </w:rPr>
        <w:t>- 29 -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_Toc28424 </w:instrText>
      </w:r>
      <w:r>
        <w:rPr>
          <w:rFonts w:hint="eastAsia" w:ascii="宋体" w:hAnsi="宋体" w:eastAsia="宋体" w:cs="宋体"/>
          <w:sz w:val="28"/>
          <w:szCs w:val="28"/>
        </w:rPr>
        <w:fldChar w:fldCharType="separate"/>
      </w:r>
      <w:r>
        <w:rPr>
          <w:rFonts w:hint="eastAsia"/>
          <w:sz w:val="28"/>
          <w:szCs w:val="28"/>
        </w:rPr>
        <w:t>第五节 实施就业创业提升工程</w:t>
      </w:r>
      <w:r>
        <w:rPr>
          <w:sz w:val="28"/>
          <w:szCs w:val="28"/>
        </w:rPr>
        <w:tab/>
      </w:r>
      <w:r>
        <w:rPr>
          <w:sz w:val="28"/>
          <w:szCs w:val="28"/>
        </w:rPr>
        <w:fldChar w:fldCharType="begin"/>
      </w:r>
      <w:r>
        <w:rPr>
          <w:sz w:val="28"/>
          <w:szCs w:val="28"/>
        </w:rPr>
        <w:instrText xml:space="preserve"> PAGEREF _Toc28424 \h </w:instrText>
      </w:r>
      <w:r>
        <w:rPr>
          <w:sz w:val="28"/>
          <w:szCs w:val="28"/>
        </w:rPr>
        <w:fldChar w:fldCharType="separate"/>
      </w:r>
      <w:r>
        <w:rPr>
          <w:sz w:val="28"/>
          <w:szCs w:val="28"/>
        </w:rPr>
        <w:t>- 33 -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_Toc27756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第四章  全力打造黔南人才高地</w:t>
      </w:r>
      <w:r>
        <w:rPr>
          <w:sz w:val="28"/>
          <w:szCs w:val="28"/>
        </w:rPr>
        <w:tab/>
      </w:r>
      <w:r>
        <w:rPr>
          <w:sz w:val="28"/>
          <w:szCs w:val="28"/>
        </w:rPr>
        <w:fldChar w:fldCharType="begin"/>
      </w:r>
      <w:r>
        <w:rPr>
          <w:sz w:val="28"/>
          <w:szCs w:val="28"/>
        </w:rPr>
        <w:instrText xml:space="preserve"> PAGEREF _Toc27756 \h </w:instrText>
      </w:r>
      <w:r>
        <w:rPr>
          <w:sz w:val="28"/>
          <w:szCs w:val="28"/>
        </w:rPr>
        <w:fldChar w:fldCharType="separate"/>
      </w:r>
      <w:r>
        <w:rPr>
          <w:sz w:val="28"/>
          <w:szCs w:val="28"/>
        </w:rPr>
        <w:t>- 35 -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_Toc19709 </w:instrText>
      </w:r>
      <w:r>
        <w:rPr>
          <w:rFonts w:hint="eastAsia" w:ascii="宋体" w:hAnsi="宋体" w:eastAsia="宋体" w:cs="宋体"/>
          <w:sz w:val="28"/>
          <w:szCs w:val="28"/>
        </w:rPr>
        <w:fldChar w:fldCharType="separate"/>
      </w:r>
      <w:r>
        <w:rPr>
          <w:rFonts w:hint="eastAsia"/>
          <w:sz w:val="28"/>
          <w:szCs w:val="28"/>
        </w:rPr>
        <w:t>第一节 加强专业技术人才队伍建设</w:t>
      </w:r>
      <w:r>
        <w:rPr>
          <w:sz w:val="28"/>
          <w:szCs w:val="28"/>
        </w:rPr>
        <w:tab/>
      </w:r>
      <w:r>
        <w:rPr>
          <w:sz w:val="28"/>
          <w:szCs w:val="28"/>
        </w:rPr>
        <w:fldChar w:fldCharType="begin"/>
      </w:r>
      <w:r>
        <w:rPr>
          <w:sz w:val="28"/>
          <w:szCs w:val="28"/>
        </w:rPr>
        <w:instrText xml:space="preserve"> PAGEREF _Toc19709 \h </w:instrText>
      </w:r>
      <w:r>
        <w:rPr>
          <w:sz w:val="28"/>
          <w:szCs w:val="28"/>
        </w:rPr>
        <w:fldChar w:fldCharType="separate"/>
      </w:r>
      <w:r>
        <w:rPr>
          <w:sz w:val="28"/>
          <w:szCs w:val="28"/>
        </w:rPr>
        <w:t>- 35 -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_Toc22306 </w:instrText>
      </w:r>
      <w:r>
        <w:rPr>
          <w:rFonts w:hint="eastAsia" w:ascii="宋体" w:hAnsi="宋体" w:eastAsia="宋体" w:cs="宋体"/>
          <w:sz w:val="28"/>
          <w:szCs w:val="28"/>
        </w:rPr>
        <w:fldChar w:fldCharType="separate"/>
      </w:r>
      <w:r>
        <w:rPr>
          <w:rFonts w:hint="eastAsia" w:ascii="Arial" w:hAnsi="Arial"/>
          <w:sz w:val="28"/>
          <w:szCs w:val="28"/>
          <w:lang w:eastAsia="zh-CN"/>
        </w:rPr>
        <w:t>第二节</w:t>
      </w:r>
      <w:r>
        <w:rPr>
          <w:rFonts w:hint="eastAsia" w:ascii="Arial" w:hAnsi="Arial"/>
          <w:sz w:val="28"/>
          <w:szCs w:val="28"/>
          <w:lang w:val="en-US" w:eastAsia="zh-CN"/>
        </w:rPr>
        <w:t xml:space="preserve"> </w:t>
      </w:r>
      <w:r>
        <w:rPr>
          <w:rFonts w:hint="eastAsia" w:ascii="Arial" w:hAnsi="Arial"/>
          <w:sz w:val="28"/>
          <w:szCs w:val="28"/>
        </w:rPr>
        <w:t>千方百计振兴乡村人才</w:t>
      </w:r>
      <w:r>
        <w:rPr>
          <w:sz w:val="28"/>
          <w:szCs w:val="28"/>
        </w:rPr>
        <w:tab/>
      </w:r>
      <w:r>
        <w:rPr>
          <w:sz w:val="28"/>
          <w:szCs w:val="28"/>
        </w:rPr>
        <w:fldChar w:fldCharType="begin"/>
      </w:r>
      <w:r>
        <w:rPr>
          <w:sz w:val="28"/>
          <w:szCs w:val="28"/>
        </w:rPr>
        <w:instrText xml:space="preserve"> PAGEREF _Toc22306 \h </w:instrText>
      </w:r>
      <w:r>
        <w:rPr>
          <w:sz w:val="28"/>
          <w:szCs w:val="28"/>
        </w:rPr>
        <w:fldChar w:fldCharType="separate"/>
      </w:r>
      <w:r>
        <w:rPr>
          <w:sz w:val="28"/>
          <w:szCs w:val="28"/>
        </w:rPr>
        <w:t>- 37 -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_Toc2073 </w:instrText>
      </w:r>
      <w:r>
        <w:rPr>
          <w:rFonts w:hint="eastAsia" w:ascii="宋体" w:hAnsi="宋体" w:eastAsia="宋体" w:cs="宋体"/>
          <w:sz w:val="28"/>
          <w:szCs w:val="28"/>
        </w:rPr>
        <w:fldChar w:fldCharType="separate"/>
      </w:r>
      <w:r>
        <w:rPr>
          <w:rFonts w:hint="eastAsia"/>
          <w:sz w:val="28"/>
          <w:szCs w:val="28"/>
        </w:rPr>
        <w:t>第三节 培育壮大技能人才队伍</w:t>
      </w:r>
      <w:r>
        <w:rPr>
          <w:sz w:val="28"/>
          <w:szCs w:val="28"/>
        </w:rPr>
        <w:tab/>
      </w:r>
      <w:r>
        <w:rPr>
          <w:sz w:val="28"/>
          <w:szCs w:val="28"/>
        </w:rPr>
        <w:fldChar w:fldCharType="begin"/>
      </w:r>
      <w:r>
        <w:rPr>
          <w:sz w:val="28"/>
          <w:szCs w:val="28"/>
        </w:rPr>
        <w:instrText xml:space="preserve"> PAGEREF _Toc2073 \h </w:instrText>
      </w:r>
      <w:r>
        <w:rPr>
          <w:sz w:val="28"/>
          <w:szCs w:val="28"/>
        </w:rPr>
        <w:fldChar w:fldCharType="separate"/>
      </w:r>
      <w:r>
        <w:rPr>
          <w:sz w:val="28"/>
          <w:szCs w:val="28"/>
        </w:rPr>
        <w:t>- 39 -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_Toc23418 </w:instrText>
      </w:r>
      <w:r>
        <w:rPr>
          <w:rFonts w:hint="eastAsia" w:ascii="宋体" w:hAnsi="宋体" w:eastAsia="宋体" w:cs="宋体"/>
          <w:sz w:val="28"/>
          <w:szCs w:val="28"/>
        </w:rPr>
        <w:fldChar w:fldCharType="separate"/>
      </w:r>
      <w:r>
        <w:rPr>
          <w:rFonts w:hint="eastAsia"/>
          <w:sz w:val="28"/>
          <w:szCs w:val="28"/>
          <w:lang w:bidi="ar"/>
        </w:rPr>
        <w:t xml:space="preserve">第四节 </w:t>
      </w:r>
      <w:r>
        <w:rPr>
          <w:rFonts w:hint="eastAsia" w:ascii="Arial" w:hAnsi="Arial"/>
          <w:sz w:val="28"/>
          <w:szCs w:val="28"/>
        </w:rPr>
        <w:t>围绕“四化”加快人才队伍建设</w:t>
      </w:r>
      <w:r>
        <w:rPr>
          <w:sz w:val="28"/>
          <w:szCs w:val="28"/>
        </w:rPr>
        <w:tab/>
      </w:r>
      <w:r>
        <w:rPr>
          <w:sz w:val="28"/>
          <w:szCs w:val="28"/>
        </w:rPr>
        <w:fldChar w:fldCharType="begin"/>
      </w:r>
      <w:r>
        <w:rPr>
          <w:sz w:val="28"/>
          <w:szCs w:val="28"/>
        </w:rPr>
        <w:instrText xml:space="preserve"> PAGEREF _Toc23418 \h </w:instrText>
      </w:r>
      <w:r>
        <w:rPr>
          <w:sz w:val="28"/>
          <w:szCs w:val="28"/>
        </w:rPr>
        <w:fldChar w:fldCharType="separate"/>
      </w:r>
      <w:r>
        <w:rPr>
          <w:sz w:val="28"/>
          <w:szCs w:val="28"/>
        </w:rPr>
        <w:t>- 42 -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_Toc8507 </w:instrText>
      </w:r>
      <w:r>
        <w:rPr>
          <w:rFonts w:hint="eastAsia" w:ascii="宋体" w:hAnsi="宋体" w:eastAsia="宋体" w:cs="宋体"/>
          <w:sz w:val="28"/>
          <w:szCs w:val="28"/>
        </w:rPr>
        <w:fldChar w:fldCharType="separate"/>
      </w:r>
      <w:r>
        <w:rPr>
          <w:rFonts w:hint="eastAsia"/>
          <w:sz w:val="28"/>
          <w:szCs w:val="28"/>
        </w:rPr>
        <w:t>第五节</w:t>
      </w:r>
      <w:r>
        <w:rPr>
          <w:sz w:val="28"/>
          <w:szCs w:val="28"/>
        </w:rPr>
        <w:t xml:space="preserve"> </w:t>
      </w:r>
      <w:r>
        <w:rPr>
          <w:rFonts w:hint="eastAsia" w:ascii="Arial" w:hAnsi="Arial"/>
          <w:sz w:val="28"/>
          <w:szCs w:val="28"/>
        </w:rPr>
        <w:t>深化人才体制机制改革</w:t>
      </w:r>
      <w:r>
        <w:rPr>
          <w:sz w:val="28"/>
          <w:szCs w:val="28"/>
        </w:rPr>
        <w:tab/>
      </w:r>
      <w:r>
        <w:rPr>
          <w:sz w:val="28"/>
          <w:szCs w:val="28"/>
        </w:rPr>
        <w:fldChar w:fldCharType="begin"/>
      </w:r>
      <w:r>
        <w:rPr>
          <w:sz w:val="28"/>
          <w:szCs w:val="28"/>
        </w:rPr>
        <w:instrText xml:space="preserve"> PAGEREF _Toc8507 \h </w:instrText>
      </w:r>
      <w:r>
        <w:rPr>
          <w:sz w:val="28"/>
          <w:szCs w:val="28"/>
        </w:rPr>
        <w:fldChar w:fldCharType="separate"/>
      </w:r>
      <w:r>
        <w:rPr>
          <w:sz w:val="28"/>
          <w:szCs w:val="28"/>
        </w:rPr>
        <w:t>- 48 -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_Toc21556 </w:instrText>
      </w:r>
      <w:r>
        <w:rPr>
          <w:rFonts w:hint="eastAsia" w:ascii="宋体" w:hAnsi="宋体" w:eastAsia="宋体" w:cs="宋体"/>
          <w:sz w:val="28"/>
          <w:szCs w:val="28"/>
        </w:rPr>
        <w:fldChar w:fldCharType="separate"/>
      </w:r>
      <w:r>
        <w:rPr>
          <w:rFonts w:hint="eastAsia"/>
          <w:sz w:val="28"/>
          <w:szCs w:val="28"/>
        </w:rPr>
        <w:t>第六节</w:t>
      </w:r>
      <w:r>
        <w:rPr>
          <w:sz w:val="28"/>
          <w:szCs w:val="28"/>
        </w:rPr>
        <w:t xml:space="preserve"> </w:t>
      </w:r>
      <w:r>
        <w:rPr>
          <w:rFonts w:hint="eastAsia" w:ascii="Arial" w:hAnsi="Arial"/>
          <w:sz w:val="28"/>
          <w:szCs w:val="28"/>
        </w:rPr>
        <w:t>着力提高人才服务水平</w:t>
      </w:r>
      <w:r>
        <w:rPr>
          <w:sz w:val="28"/>
          <w:szCs w:val="28"/>
        </w:rPr>
        <w:tab/>
      </w:r>
      <w:r>
        <w:rPr>
          <w:sz w:val="28"/>
          <w:szCs w:val="28"/>
        </w:rPr>
        <w:fldChar w:fldCharType="begin"/>
      </w:r>
      <w:r>
        <w:rPr>
          <w:sz w:val="28"/>
          <w:szCs w:val="28"/>
        </w:rPr>
        <w:instrText xml:space="preserve"> PAGEREF _Toc21556 \h </w:instrText>
      </w:r>
      <w:r>
        <w:rPr>
          <w:sz w:val="28"/>
          <w:szCs w:val="28"/>
        </w:rPr>
        <w:fldChar w:fldCharType="separate"/>
      </w:r>
      <w:r>
        <w:rPr>
          <w:sz w:val="28"/>
          <w:szCs w:val="28"/>
        </w:rPr>
        <w:t>- 50 -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_Toc3367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第五章 持续筑牢社会保障底线</w:t>
      </w:r>
      <w:r>
        <w:rPr>
          <w:sz w:val="28"/>
          <w:szCs w:val="28"/>
        </w:rPr>
        <w:tab/>
      </w:r>
      <w:r>
        <w:rPr>
          <w:sz w:val="28"/>
          <w:szCs w:val="28"/>
        </w:rPr>
        <w:fldChar w:fldCharType="begin"/>
      </w:r>
      <w:r>
        <w:rPr>
          <w:sz w:val="28"/>
          <w:szCs w:val="28"/>
        </w:rPr>
        <w:instrText xml:space="preserve"> PAGEREF _Toc3367 \h </w:instrText>
      </w:r>
      <w:r>
        <w:rPr>
          <w:sz w:val="28"/>
          <w:szCs w:val="28"/>
        </w:rPr>
        <w:fldChar w:fldCharType="separate"/>
      </w:r>
      <w:r>
        <w:rPr>
          <w:sz w:val="28"/>
          <w:szCs w:val="28"/>
        </w:rPr>
        <w:t>- 53 -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_Toc19750 </w:instrText>
      </w:r>
      <w:r>
        <w:rPr>
          <w:rFonts w:hint="eastAsia" w:ascii="宋体" w:hAnsi="宋体" w:eastAsia="宋体" w:cs="宋体"/>
          <w:sz w:val="28"/>
          <w:szCs w:val="28"/>
        </w:rPr>
        <w:fldChar w:fldCharType="separate"/>
      </w:r>
      <w:r>
        <w:rPr>
          <w:rFonts w:hint="eastAsia"/>
          <w:sz w:val="28"/>
          <w:szCs w:val="28"/>
        </w:rPr>
        <w:t>第一节 不断完善社会保险制度</w:t>
      </w:r>
      <w:r>
        <w:rPr>
          <w:sz w:val="28"/>
          <w:szCs w:val="28"/>
        </w:rPr>
        <w:tab/>
      </w:r>
      <w:r>
        <w:rPr>
          <w:sz w:val="28"/>
          <w:szCs w:val="28"/>
        </w:rPr>
        <w:fldChar w:fldCharType="begin"/>
      </w:r>
      <w:r>
        <w:rPr>
          <w:sz w:val="28"/>
          <w:szCs w:val="28"/>
        </w:rPr>
        <w:instrText xml:space="preserve"> PAGEREF _Toc19750 \h </w:instrText>
      </w:r>
      <w:r>
        <w:rPr>
          <w:sz w:val="28"/>
          <w:szCs w:val="28"/>
        </w:rPr>
        <w:fldChar w:fldCharType="separate"/>
      </w:r>
      <w:r>
        <w:rPr>
          <w:sz w:val="28"/>
          <w:szCs w:val="28"/>
        </w:rPr>
        <w:t>- 53 -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_Toc27474 </w:instrText>
      </w:r>
      <w:r>
        <w:rPr>
          <w:rFonts w:hint="eastAsia" w:ascii="宋体" w:hAnsi="宋体" w:eastAsia="宋体" w:cs="宋体"/>
          <w:sz w:val="28"/>
          <w:szCs w:val="28"/>
        </w:rPr>
        <w:fldChar w:fldCharType="separate"/>
      </w:r>
      <w:r>
        <w:rPr>
          <w:rFonts w:hint="eastAsia"/>
          <w:sz w:val="28"/>
          <w:szCs w:val="28"/>
        </w:rPr>
        <w:t>第二节 持续扩大社会保险覆盖面</w:t>
      </w:r>
      <w:r>
        <w:rPr>
          <w:sz w:val="28"/>
          <w:szCs w:val="28"/>
        </w:rPr>
        <w:tab/>
      </w:r>
      <w:r>
        <w:rPr>
          <w:sz w:val="28"/>
          <w:szCs w:val="28"/>
        </w:rPr>
        <w:fldChar w:fldCharType="begin"/>
      </w:r>
      <w:r>
        <w:rPr>
          <w:sz w:val="28"/>
          <w:szCs w:val="28"/>
        </w:rPr>
        <w:instrText xml:space="preserve"> PAGEREF _Toc27474 \h </w:instrText>
      </w:r>
      <w:r>
        <w:rPr>
          <w:sz w:val="28"/>
          <w:szCs w:val="28"/>
        </w:rPr>
        <w:fldChar w:fldCharType="separate"/>
      </w:r>
      <w:r>
        <w:rPr>
          <w:sz w:val="28"/>
          <w:szCs w:val="28"/>
        </w:rPr>
        <w:t>- 54 -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_Toc23108 </w:instrText>
      </w:r>
      <w:r>
        <w:rPr>
          <w:rFonts w:hint="eastAsia" w:ascii="宋体" w:hAnsi="宋体" w:eastAsia="宋体" w:cs="宋体"/>
          <w:sz w:val="28"/>
          <w:szCs w:val="28"/>
        </w:rPr>
        <w:fldChar w:fldCharType="separate"/>
      </w:r>
      <w:r>
        <w:rPr>
          <w:rFonts w:hint="eastAsia"/>
          <w:sz w:val="28"/>
          <w:szCs w:val="28"/>
        </w:rPr>
        <w:t>第三节 提升社保经办服务水平</w:t>
      </w:r>
      <w:r>
        <w:rPr>
          <w:sz w:val="28"/>
          <w:szCs w:val="28"/>
        </w:rPr>
        <w:tab/>
      </w:r>
      <w:r>
        <w:rPr>
          <w:sz w:val="28"/>
          <w:szCs w:val="28"/>
        </w:rPr>
        <w:fldChar w:fldCharType="begin"/>
      </w:r>
      <w:r>
        <w:rPr>
          <w:sz w:val="28"/>
          <w:szCs w:val="28"/>
        </w:rPr>
        <w:instrText xml:space="preserve"> PAGEREF _Toc23108 \h </w:instrText>
      </w:r>
      <w:r>
        <w:rPr>
          <w:sz w:val="28"/>
          <w:szCs w:val="28"/>
        </w:rPr>
        <w:fldChar w:fldCharType="separate"/>
      </w:r>
      <w:r>
        <w:rPr>
          <w:sz w:val="28"/>
          <w:szCs w:val="28"/>
        </w:rPr>
        <w:t>- 55 -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_Toc17721 </w:instrText>
      </w:r>
      <w:r>
        <w:rPr>
          <w:rFonts w:hint="eastAsia" w:ascii="宋体" w:hAnsi="宋体" w:eastAsia="宋体" w:cs="宋体"/>
          <w:sz w:val="28"/>
          <w:szCs w:val="28"/>
        </w:rPr>
        <w:fldChar w:fldCharType="separate"/>
      </w:r>
      <w:r>
        <w:rPr>
          <w:rFonts w:hint="eastAsia"/>
          <w:sz w:val="28"/>
          <w:szCs w:val="28"/>
        </w:rPr>
        <w:t>第四节 加强社会保险基金监管</w:t>
      </w:r>
      <w:r>
        <w:rPr>
          <w:sz w:val="28"/>
          <w:szCs w:val="28"/>
        </w:rPr>
        <w:tab/>
      </w:r>
      <w:r>
        <w:rPr>
          <w:sz w:val="28"/>
          <w:szCs w:val="28"/>
        </w:rPr>
        <w:fldChar w:fldCharType="begin"/>
      </w:r>
      <w:r>
        <w:rPr>
          <w:sz w:val="28"/>
          <w:szCs w:val="28"/>
        </w:rPr>
        <w:instrText xml:space="preserve"> PAGEREF _Toc17721 \h </w:instrText>
      </w:r>
      <w:r>
        <w:rPr>
          <w:sz w:val="28"/>
          <w:szCs w:val="28"/>
        </w:rPr>
        <w:fldChar w:fldCharType="separate"/>
      </w:r>
      <w:r>
        <w:rPr>
          <w:sz w:val="28"/>
          <w:szCs w:val="28"/>
        </w:rPr>
        <w:t>- 56 -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_Toc24685 </w:instrText>
      </w:r>
      <w:r>
        <w:rPr>
          <w:rFonts w:hint="eastAsia" w:ascii="宋体" w:hAnsi="宋体" w:eastAsia="宋体" w:cs="宋体"/>
          <w:sz w:val="28"/>
          <w:szCs w:val="28"/>
        </w:rPr>
        <w:fldChar w:fldCharType="separate"/>
      </w:r>
      <w:r>
        <w:rPr>
          <w:rFonts w:hint="eastAsia"/>
          <w:sz w:val="28"/>
          <w:szCs w:val="28"/>
        </w:rPr>
        <w:t xml:space="preserve">第五节 </w:t>
      </w:r>
      <w:r>
        <w:rPr>
          <w:rFonts w:hint="eastAsia" w:ascii="Arial" w:hAnsi="Arial"/>
          <w:sz w:val="28"/>
          <w:szCs w:val="28"/>
        </w:rPr>
        <w:t>实施社会保险提升工程</w:t>
      </w:r>
      <w:r>
        <w:rPr>
          <w:sz w:val="28"/>
          <w:szCs w:val="28"/>
        </w:rPr>
        <w:tab/>
      </w:r>
      <w:r>
        <w:rPr>
          <w:sz w:val="28"/>
          <w:szCs w:val="28"/>
        </w:rPr>
        <w:fldChar w:fldCharType="begin"/>
      </w:r>
      <w:r>
        <w:rPr>
          <w:sz w:val="28"/>
          <w:szCs w:val="28"/>
        </w:rPr>
        <w:instrText xml:space="preserve"> PAGEREF _Toc24685 \h </w:instrText>
      </w:r>
      <w:r>
        <w:rPr>
          <w:sz w:val="28"/>
          <w:szCs w:val="28"/>
        </w:rPr>
        <w:fldChar w:fldCharType="separate"/>
      </w:r>
      <w:r>
        <w:rPr>
          <w:sz w:val="28"/>
          <w:szCs w:val="28"/>
        </w:rPr>
        <w:t>- 56 -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_Toc20031 </w:instrText>
      </w:r>
      <w:r>
        <w:rPr>
          <w:rFonts w:hint="eastAsia" w:ascii="宋体" w:hAnsi="宋体" w:eastAsia="宋体" w:cs="宋体"/>
          <w:sz w:val="28"/>
          <w:szCs w:val="28"/>
        </w:rPr>
        <w:fldChar w:fldCharType="separate"/>
      </w:r>
      <w:r>
        <w:rPr>
          <w:rFonts w:hint="eastAsia" w:eastAsia="方正小标宋简体"/>
          <w:sz w:val="28"/>
          <w:szCs w:val="28"/>
        </w:rPr>
        <w:t>第六章 积极构建和谐劳动关系</w:t>
      </w:r>
      <w:r>
        <w:rPr>
          <w:sz w:val="28"/>
          <w:szCs w:val="28"/>
        </w:rPr>
        <w:tab/>
      </w:r>
      <w:r>
        <w:rPr>
          <w:sz w:val="28"/>
          <w:szCs w:val="28"/>
        </w:rPr>
        <w:fldChar w:fldCharType="begin"/>
      </w:r>
      <w:r>
        <w:rPr>
          <w:sz w:val="28"/>
          <w:szCs w:val="28"/>
        </w:rPr>
        <w:instrText xml:space="preserve"> PAGEREF _Toc20031 \h </w:instrText>
      </w:r>
      <w:r>
        <w:rPr>
          <w:sz w:val="28"/>
          <w:szCs w:val="28"/>
        </w:rPr>
        <w:fldChar w:fldCharType="separate"/>
      </w:r>
      <w:r>
        <w:rPr>
          <w:sz w:val="28"/>
          <w:szCs w:val="28"/>
        </w:rPr>
        <w:t>- 58 -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_Toc20575 </w:instrText>
      </w:r>
      <w:r>
        <w:rPr>
          <w:rFonts w:hint="eastAsia" w:ascii="宋体" w:hAnsi="宋体" w:eastAsia="宋体" w:cs="宋体"/>
          <w:sz w:val="28"/>
          <w:szCs w:val="28"/>
        </w:rPr>
        <w:fldChar w:fldCharType="separate"/>
      </w:r>
      <w:r>
        <w:rPr>
          <w:rFonts w:hint="eastAsia"/>
          <w:sz w:val="28"/>
          <w:szCs w:val="28"/>
        </w:rPr>
        <w:t>第一节 健全劳动关系协调机制</w:t>
      </w:r>
      <w:r>
        <w:rPr>
          <w:sz w:val="28"/>
          <w:szCs w:val="28"/>
        </w:rPr>
        <w:tab/>
      </w:r>
      <w:r>
        <w:rPr>
          <w:sz w:val="28"/>
          <w:szCs w:val="28"/>
        </w:rPr>
        <w:fldChar w:fldCharType="begin"/>
      </w:r>
      <w:r>
        <w:rPr>
          <w:sz w:val="28"/>
          <w:szCs w:val="28"/>
        </w:rPr>
        <w:instrText xml:space="preserve"> PAGEREF _Toc20575 \h </w:instrText>
      </w:r>
      <w:r>
        <w:rPr>
          <w:sz w:val="28"/>
          <w:szCs w:val="28"/>
        </w:rPr>
        <w:fldChar w:fldCharType="separate"/>
      </w:r>
      <w:r>
        <w:rPr>
          <w:sz w:val="28"/>
          <w:szCs w:val="28"/>
        </w:rPr>
        <w:t>- 58 -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_Toc29123 </w:instrText>
      </w:r>
      <w:r>
        <w:rPr>
          <w:rFonts w:hint="eastAsia" w:ascii="宋体" w:hAnsi="宋体" w:eastAsia="宋体" w:cs="宋体"/>
          <w:sz w:val="28"/>
          <w:szCs w:val="28"/>
        </w:rPr>
        <w:fldChar w:fldCharType="separate"/>
      </w:r>
      <w:r>
        <w:rPr>
          <w:rFonts w:hint="eastAsia"/>
          <w:sz w:val="28"/>
          <w:szCs w:val="28"/>
        </w:rPr>
        <w:t>第二节 完善劳动人事争议调解仲裁机制</w:t>
      </w:r>
      <w:r>
        <w:rPr>
          <w:sz w:val="28"/>
          <w:szCs w:val="28"/>
        </w:rPr>
        <w:tab/>
      </w:r>
      <w:r>
        <w:rPr>
          <w:sz w:val="28"/>
          <w:szCs w:val="28"/>
        </w:rPr>
        <w:fldChar w:fldCharType="begin"/>
      </w:r>
      <w:r>
        <w:rPr>
          <w:sz w:val="28"/>
          <w:szCs w:val="28"/>
        </w:rPr>
        <w:instrText xml:space="preserve"> PAGEREF _Toc29123 \h </w:instrText>
      </w:r>
      <w:r>
        <w:rPr>
          <w:sz w:val="28"/>
          <w:szCs w:val="28"/>
        </w:rPr>
        <w:fldChar w:fldCharType="separate"/>
      </w:r>
      <w:r>
        <w:rPr>
          <w:sz w:val="28"/>
          <w:szCs w:val="28"/>
        </w:rPr>
        <w:t>- 60 -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_Toc32453 </w:instrText>
      </w:r>
      <w:r>
        <w:rPr>
          <w:rFonts w:hint="eastAsia" w:ascii="宋体" w:hAnsi="宋体" w:eastAsia="宋体" w:cs="宋体"/>
          <w:sz w:val="28"/>
          <w:szCs w:val="28"/>
        </w:rPr>
        <w:fldChar w:fldCharType="separate"/>
      </w:r>
      <w:r>
        <w:rPr>
          <w:rFonts w:hint="eastAsia"/>
          <w:sz w:val="28"/>
          <w:szCs w:val="28"/>
        </w:rPr>
        <w:t xml:space="preserve">第三节 </w:t>
      </w:r>
      <w:r>
        <w:rPr>
          <w:rFonts w:hint="eastAsia" w:ascii="Arial" w:hAnsi="Arial"/>
          <w:sz w:val="28"/>
          <w:szCs w:val="28"/>
        </w:rPr>
        <w:t>提升劳动保障监察执法效能</w:t>
      </w:r>
      <w:r>
        <w:rPr>
          <w:sz w:val="28"/>
          <w:szCs w:val="28"/>
        </w:rPr>
        <w:tab/>
      </w:r>
      <w:r>
        <w:rPr>
          <w:sz w:val="28"/>
          <w:szCs w:val="28"/>
        </w:rPr>
        <w:fldChar w:fldCharType="begin"/>
      </w:r>
      <w:r>
        <w:rPr>
          <w:sz w:val="28"/>
          <w:szCs w:val="28"/>
        </w:rPr>
        <w:instrText xml:space="preserve"> PAGEREF _Toc32453 \h </w:instrText>
      </w:r>
      <w:r>
        <w:rPr>
          <w:sz w:val="28"/>
          <w:szCs w:val="28"/>
        </w:rPr>
        <w:fldChar w:fldCharType="separate"/>
      </w:r>
      <w:r>
        <w:rPr>
          <w:sz w:val="28"/>
          <w:szCs w:val="28"/>
        </w:rPr>
        <w:t>- 61 -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_Toc8818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第七章 提升人社公共服务能力</w:t>
      </w:r>
      <w:r>
        <w:rPr>
          <w:sz w:val="28"/>
          <w:szCs w:val="28"/>
        </w:rPr>
        <w:tab/>
      </w:r>
      <w:r>
        <w:rPr>
          <w:sz w:val="28"/>
          <w:szCs w:val="28"/>
        </w:rPr>
        <w:fldChar w:fldCharType="begin"/>
      </w:r>
      <w:r>
        <w:rPr>
          <w:sz w:val="28"/>
          <w:szCs w:val="28"/>
        </w:rPr>
        <w:instrText xml:space="preserve"> PAGEREF _Toc8818 \h </w:instrText>
      </w:r>
      <w:r>
        <w:rPr>
          <w:sz w:val="28"/>
          <w:szCs w:val="28"/>
        </w:rPr>
        <w:fldChar w:fldCharType="separate"/>
      </w:r>
      <w:r>
        <w:rPr>
          <w:sz w:val="28"/>
          <w:szCs w:val="28"/>
        </w:rPr>
        <w:t>- 63 -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_Toc24873 </w:instrText>
      </w:r>
      <w:r>
        <w:rPr>
          <w:rFonts w:hint="eastAsia" w:ascii="宋体" w:hAnsi="宋体" w:eastAsia="宋体" w:cs="宋体"/>
          <w:sz w:val="28"/>
          <w:szCs w:val="28"/>
        </w:rPr>
        <w:fldChar w:fldCharType="separate"/>
      </w:r>
      <w:r>
        <w:rPr>
          <w:rFonts w:hint="eastAsia"/>
          <w:sz w:val="28"/>
          <w:szCs w:val="28"/>
        </w:rPr>
        <w:t xml:space="preserve">第一节 </w:t>
      </w:r>
      <w:r>
        <w:rPr>
          <w:rFonts w:hint="eastAsia" w:ascii="Arial" w:hAnsi="Arial"/>
          <w:sz w:val="28"/>
          <w:szCs w:val="28"/>
        </w:rPr>
        <w:t>推动经办服务平台建设</w:t>
      </w:r>
      <w:r>
        <w:rPr>
          <w:sz w:val="28"/>
          <w:szCs w:val="28"/>
        </w:rPr>
        <w:tab/>
      </w:r>
      <w:r>
        <w:rPr>
          <w:sz w:val="28"/>
          <w:szCs w:val="28"/>
        </w:rPr>
        <w:fldChar w:fldCharType="begin"/>
      </w:r>
      <w:r>
        <w:rPr>
          <w:sz w:val="28"/>
          <w:szCs w:val="28"/>
        </w:rPr>
        <w:instrText xml:space="preserve"> PAGEREF _Toc24873 \h </w:instrText>
      </w:r>
      <w:r>
        <w:rPr>
          <w:sz w:val="28"/>
          <w:szCs w:val="28"/>
        </w:rPr>
        <w:fldChar w:fldCharType="separate"/>
      </w:r>
      <w:r>
        <w:rPr>
          <w:sz w:val="28"/>
          <w:szCs w:val="28"/>
        </w:rPr>
        <w:t>- 63 -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_Toc10621 </w:instrText>
      </w:r>
      <w:r>
        <w:rPr>
          <w:rFonts w:hint="eastAsia" w:ascii="宋体" w:hAnsi="宋体" w:eastAsia="宋体" w:cs="宋体"/>
          <w:sz w:val="28"/>
          <w:szCs w:val="28"/>
        </w:rPr>
        <w:fldChar w:fldCharType="separate"/>
      </w:r>
      <w:r>
        <w:rPr>
          <w:rFonts w:hint="eastAsia"/>
          <w:sz w:val="28"/>
          <w:szCs w:val="28"/>
        </w:rPr>
        <w:t>第二节 共享大数据信息促服务提升</w:t>
      </w:r>
      <w:r>
        <w:rPr>
          <w:sz w:val="28"/>
          <w:szCs w:val="28"/>
        </w:rPr>
        <w:tab/>
      </w:r>
      <w:r>
        <w:rPr>
          <w:sz w:val="28"/>
          <w:szCs w:val="28"/>
        </w:rPr>
        <w:fldChar w:fldCharType="begin"/>
      </w:r>
      <w:r>
        <w:rPr>
          <w:sz w:val="28"/>
          <w:szCs w:val="28"/>
        </w:rPr>
        <w:instrText xml:space="preserve"> PAGEREF _Toc10621 \h </w:instrText>
      </w:r>
      <w:r>
        <w:rPr>
          <w:sz w:val="28"/>
          <w:szCs w:val="28"/>
        </w:rPr>
        <w:fldChar w:fldCharType="separate"/>
      </w:r>
      <w:r>
        <w:rPr>
          <w:sz w:val="28"/>
          <w:szCs w:val="28"/>
        </w:rPr>
        <w:t>- 64 -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_Toc20359 </w:instrText>
      </w:r>
      <w:r>
        <w:rPr>
          <w:rFonts w:hint="eastAsia" w:ascii="宋体" w:hAnsi="宋体" w:eastAsia="宋体" w:cs="宋体"/>
          <w:sz w:val="28"/>
          <w:szCs w:val="28"/>
        </w:rPr>
        <w:fldChar w:fldCharType="separate"/>
      </w:r>
      <w:r>
        <w:rPr>
          <w:rFonts w:hint="eastAsia"/>
          <w:sz w:val="28"/>
          <w:szCs w:val="28"/>
        </w:rPr>
        <w:t>第三节 推进社保卡“一卡通”服务</w:t>
      </w:r>
      <w:r>
        <w:rPr>
          <w:sz w:val="28"/>
          <w:szCs w:val="28"/>
        </w:rPr>
        <w:tab/>
      </w:r>
      <w:r>
        <w:rPr>
          <w:sz w:val="28"/>
          <w:szCs w:val="28"/>
        </w:rPr>
        <w:fldChar w:fldCharType="begin"/>
      </w:r>
      <w:r>
        <w:rPr>
          <w:sz w:val="28"/>
          <w:szCs w:val="28"/>
        </w:rPr>
        <w:instrText xml:space="preserve"> PAGEREF _Toc20359 \h </w:instrText>
      </w:r>
      <w:r>
        <w:rPr>
          <w:sz w:val="28"/>
          <w:szCs w:val="28"/>
        </w:rPr>
        <w:fldChar w:fldCharType="separate"/>
      </w:r>
      <w:r>
        <w:rPr>
          <w:sz w:val="28"/>
          <w:szCs w:val="28"/>
        </w:rPr>
        <w:t>- 64 -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_Toc31493 </w:instrText>
      </w:r>
      <w:r>
        <w:rPr>
          <w:rFonts w:hint="eastAsia" w:ascii="宋体" w:hAnsi="宋体" w:eastAsia="宋体" w:cs="宋体"/>
          <w:sz w:val="28"/>
          <w:szCs w:val="28"/>
        </w:rPr>
        <w:fldChar w:fldCharType="separate"/>
      </w:r>
      <w:r>
        <w:rPr>
          <w:rFonts w:hint="eastAsia"/>
          <w:sz w:val="28"/>
          <w:szCs w:val="28"/>
        </w:rPr>
        <w:t>第四节 加强人社系统行风建设</w:t>
      </w:r>
      <w:r>
        <w:rPr>
          <w:sz w:val="28"/>
          <w:szCs w:val="28"/>
        </w:rPr>
        <w:tab/>
      </w:r>
      <w:r>
        <w:rPr>
          <w:sz w:val="28"/>
          <w:szCs w:val="28"/>
        </w:rPr>
        <w:fldChar w:fldCharType="begin"/>
      </w:r>
      <w:r>
        <w:rPr>
          <w:sz w:val="28"/>
          <w:szCs w:val="28"/>
        </w:rPr>
        <w:instrText xml:space="preserve"> PAGEREF _Toc31493 \h </w:instrText>
      </w:r>
      <w:r>
        <w:rPr>
          <w:sz w:val="28"/>
          <w:szCs w:val="28"/>
        </w:rPr>
        <w:fldChar w:fldCharType="separate"/>
      </w:r>
      <w:r>
        <w:rPr>
          <w:sz w:val="28"/>
          <w:szCs w:val="28"/>
        </w:rPr>
        <w:t>- 65 -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_Toc4010 </w:instrText>
      </w:r>
      <w:r>
        <w:rPr>
          <w:rFonts w:hint="eastAsia" w:ascii="宋体" w:hAnsi="宋体" w:eastAsia="宋体" w:cs="宋体"/>
          <w:sz w:val="28"/>
          <w:szCs w:val="28"/>
        </w:rPr>
        <w:fldChar w:fldCharType="separate"/>
      </w:r>
      <w:r>
        <w:rPr>
          <w:rFonts w:hint="eastAsia"/>
          <w:sz w:val="28"/>
          <w:szCs w:val="28"/>
        </w:rPr>
        <w:t xml:space="preserve">第五节 </w:t>
      </w:r>
      <w:r>
        <w:rPr>
          <w:rFonts w:hint="eastAsia" w:ascii="Arial" w:hAnsi="Arial"/>
          <w:sz w:val="28"/>
          <w:szCs w:val="28"/>
        </w:rPr>
        <w:t>实施服务能力提升工程</w:t>
      </w:r>
      <w:r>
        <w:rPr>
          <w:sz w:val="28"/>
          <w:szCs w:val="28"/>
        </w:rPr>
        <w:tab/>
      </w:r>
      <w:r>
        <w:rPr>
          <w:sz w:val="28"/>
          <w:szCs w:val="28"/>
        </w:rPr>
        <w:fldChar w:fldCharType="begin"/>
      </w:r>
      <w:r>
        <w:rPr>
          <w:sz w:val="28"/>
          <w:szCs w:val="28"/>
        </w:rPr>
        <w:instrText xml:space="preserve"> PAGEREF _Toc4010 \h </w:instrText>
      </w:r>
      <w:r>
        <w:rPr>
          <w:sz w:val="28"/>
          <w:szCs w:val="28"/>
        </w:rPr>
        <w:fldChar w:fldCharType="separate"/>
      </w:r>
      <w:r>
        <w:rPr>
          <w:sz w:val="28"/>
          <w:szCs w:val="28"/>
        </w:rPr>
        <w:t>- 65 -</w:t>
      </w:r>
      <w:r>
        <w:rPr>
          <w:sz w:val="28"/>
          <w:szCs w:val="28"/>
        </w:rPr>
        <w:fldChar w:fldCharType="end"/>
      </w:r>
      <w:r>
        <w:rPr>
          <w:rFonts w:hint="eastAsia" w:ascii="宋体" w:hAnsi="宋体" w:eastAsia="宋体" w:cs="宋体"/>
          <w:sz w:val="28"/>
          <w:szCs w:val="28"/>
        </w:rPr>
        <w:fldChar w:fldCharType="end"/>
      </w:r>
    </w:p>
    <w:p>
      <w:pPr>
        <w:pStyle w:val="17"/>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_Toc9423 </w:instrText>
      </w:r>
      <w:r>
        <w:rPr>
          <w:rFonts w:hint="eastAsia" w:ascii="宋体" w:hAnsi="宋体" w:eastAsia="宋体" w:cs="宋体"/>
          <w:sz w:val="28"/>
          <w:szCs w:val="28"/>
        </w:rPr>
        <w:fldChar w:fldCharType="separate"/>
      </w:r>
      <w:r>
        <w:rPr>
          <w:rFonts w:hint="eastAsia" w:ascii="方正小标宋简体" w:eastAsia="方正小标宋简体"/>
          <w:sz w:val="28"/>
          <w:szCs w:val="28"/>
        </w:rPr>
        <w:t>第八章 强化规划实施保障</w:t>
      </w:r>
      <w:r>
        <w:rPr>
          <w:sz w:val="28"/>
          <w:szCs w:val="28"/>
        </w:rPr>
        <w:tab/>
      </w:r>
      <w:r>
        <w:rPr>
          <w:sz w:val="28"/>
          <w:szCs w:val="28"/>
        </w:rPr>
        <w:fldChar w:fldCharType="begin"/>
      </w:r>
      <w:r>
        <w:rPr>
          <w:sz w:val="28"/>
          <w:szCs w:val="28"/>
        </w:rPr>
        <w:instrText xml:space="preserve"> PAGEREF _Toc9423 \h </w:instrText>
      </w:r>
      <w:r>
        <w:rPr>
          <w:sz w:val="28"/>
          <w:szCs w:val="28"/>
        </w:rPr>
        <w:fldChar w:fldCharType="separate"/>
      </w:r>
      <w:r>
        <w:rPr>
          <w:sz w:val="28"/>
          <w:szCs w:val="28"/>
        </w:rPr>
        <w:t>- 67 -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_Toc20719 </w:instrText>
      </w:r>
      <w:r>
        <w:rPr>
          <w:rFonts w:hint="eastAsia" w:ascii="宋体" w:hAnsi="宋体" w:eastAsia="宋体" w:cs="宋体"/>
          <w:sz w:val="28"/>
          <w:szCs w:val="28"/>
        </w:rPr>
        <w:fldChar w:fldCharType="separate"/>
      </w:r>
      <w:r>
        <w:rPr>
          <w:rFonts w:hint="eastAsia"/>
          <w:sz w:val="28"/>
          <w:szCs w:val="28"/>
        </w:rPr>
        <w:t>第一节 抓好规划落实</w:t>
      </w:r>
      <w:r>
        <w:rPr>
          <w:sz w:val="28"/>
          <w:szCs w:val="28"/>
        </w:rPr>
        <w:tab/>
      </w:r>
      <w:r>
        <w:rPr>
          <w:sz w:val="28"/>
          <w:szCs w:val="28"/>
        </w:rPr>
        <w:fldChar w:fldCharType="begin"/>
      </w:r>
      <w:r>
        <w:rPr>
          <w:sz w:val="28"/>
          <w:szCs w:val="28"/>
        </w:rPr>
        <w:instrText xml:space="preserve"> PAGEREF _Toc20719 \h </w:instrText>
      </w:r>
      <w:r>
        <w:rPr>
          <w:sz w:val="28"/>
          <w:szCs w:val="28"/>
        </w:rPr>
        <w:fldChar w:fldCharType="separate"/>
      </w:r>
      <w:r>
        <w:rPr>
          <w:sz w:val="28"/>
          <w:szCs w:val="28"/>
        </w:rPr>
        <w:t>- 67 -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_Toc18661 </w:instrText>
      </w:r>
      <w:r>
        <w:rPr>
          <w:rFonts w:hint="eastAsia" w:ascii="宋体" w:hAnsi="宋体" w:eastAsia="宋体" w:cs="宋体"/>
          <w:sz w:val="28"/>
          <w:szCs w:val="28"/>
        </w:rPr>
        <w:fldChar w:fldCharType="separate"/>
      </w:r>
      <w:r>
        <w:rPr>
          <w:rFonts w:hint="eastAsia"/>
          <w:sz w:val="28"/>
          <w:szCs w:val="28"/>
        </w:rPr>
        <w:t>第二节 坚持依法行政</w:t>
      </w:r>
      <w:r>
        <w:rPr>
          <w:sz w:val="28"/>
          <w:szCs w:val="28"/>
        </w:rPr>
        <w:tab/>
      </w:r>
      <w:r>
        <w:rPr>
          <w:sz w:val="28"/>
          <w:szCs w:val="28"/>
        </w:rPr>
        <w:fldChar w:fldCharType="begin"/>
      </w:r>
      <w:r>
        <w:rPr>
          <w:sz w:val="28"/>
          <w:szCs w:val="28"/>
        </w:rPr>
        <w:instrText xml:space="preserve"> PAGEREF _Toc18661 \h </w:instrText>
      </w:r>
      <w:r>
        <w:rPr>
          <w:sz w:val="28"/>
          <w:szCs w:val="28"/>
        </w:rPr>
        <w:fldChar w:fldCharType="separate"/>
      </w:r>
      <w:r>
        <w:rPr>
          <w:sz w:val="28"/>
          <w:szCs w:val="28"/>
        </w:rPr>
        <w:t>- 67 -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_Toc27442 </w:instrText>
      </w:r>
      <w:r>
        <w:rPr>
          <w:rFonts w:hint="eastAsia" w:ascii="宋体" w:hAnsi="宋体" w:eastAsia="宋体" w:cs="宋体"/>
          <w:sz w:val="28"/>
          <w:szCs w:val="28"/>
        </w:rPr>
        <w:fldChar w:fldCharType="separate"/>
      </w:r>
      <w:r>
        <w:rPr>
          <w:rFonts w:hint="eastAsia"/>
          <w:sz w:val="28"/>
          <w:szCs w:val="28"/>
        </w:rPr>
        <w:t>第三节 加大财政投入</w:t>
      </w:r>
      <w:r>
        <w:rPr>
          <w:sz w:val="28"/>
          <w:szCs w:val="28"/>
        </w:rPr>
        <w:tab/>
      </w:r>
      <w:r>
        <w:rPr>
          <w:sz w:val="28"/>
          <w:szCs w:val="28"/>
        </w:rPr>
        <w:fldChar w:fldCharType="begin"/>
      </w:r>
      <w:r>
        <w:rPr>
          <w:sz w:val="28"/>
          <w:szCs w:val="28"/>
        </w:rPr>
        <w:instrText xml:space="preserve"> PAGEREF _Toc27442 \h </w:instrText>
      </w:r>
      <w:r>
        <w:rPr>
          <w:sz w:val="28"/>
          <w:szCs w:val="28"/>
        </w:rPr>
        <w:fldChar w:fldCharType="separate"/>
      </w:r>
      <w:r>
        <w:rPr>
          <w:sz w:val="28"/>
          <w:szCs w:val="28"/>
        </w:rPr>
        <w:t>- 68 -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_Toc10289 </w:instrText>
      </w:r>
      <w:r>
        <w:rPr>
          <w:rFonts w:hint="eastAsia" w:ascii="宋体" w:hAnsi="宋体" w:eastAsia="宋体" w:cs="宋体"/>
          <w:sz w:val="28"/>
          <w:szCs w:val="28"/>
        </w:rPr>
        <w:fldChar w:fldCharType="separate"/>
      </w:r>
      <w:r>
        <w:rPr>
          <w:rFonts w:hint="eastAsia"/>
          <w:sz w:val="28"/>
          <w:szCs w:val="28"/>
        </w:rPr>
        <w:t xml:space="preserve">第四节 </w:t>
      </w:r>
      <w:r>
        <w:rPr>
          <w:rFonts w:hint="eastAsia" w:ascii="Arial" w:hAnsi="Arial"/>
          <w:sz w:val="28"/>
          <w:szCs w:val="28"/>
        </w:rPr>
        <w:t>加强队伍建设</w:t>
      </w:r>
      <w:r>
        <w:rPr>
          <w:sz w:val="28"/>
          <w:szCs w:val="28"/>
        </w:rPr>
        <w:tab/>
      </w:r>
      <w:r>
        <w:rPr>
          <w:sz w:val="28"/>
          <w:szCs w:val="28"/>
        </w:rPr>
        <w:fldChar w:fldCharType="begin"/>
      </w:r>
      <w:r>
        <w:rPr>
          <w:sz w:val="28"/>
          <w:szCs w:val="28"/>
        </w:rPr>
        <w:instrText xml:space="preserve"> PAGEREF _Toc10289 \h </w:instrText>
      </w:r>
      <w:r>
        <w:rPr>
          <w:sz w:val="28"/>
          <w:szCs w:val="28"/>
        </w:rPr>
        <w:fldChar w:fldCharType="separate"/>
      </w:r>
      <w:r>
        <w:rPr>
          <w:sz w:val="28"/>
          <w:szCs w:val="28"/>
        </w:rPr>
        <w:t>- 68 -</w:t>
      </w:r>
      <w:r>
        <w:rPr>
          <w:sz w:val="28"/>
          <w:szCs w:val="28"/>
        </w:rPr>
        <w:fldChar w:fldCharType="end"/>
      </w:r>
      <w:r>
        <w:rPr>
          <w:rFonts w:hint="eastAsia" w:ascii="宋体" w:hAnsi="宋体" w:eastAsia="宋体" w:cs="宋体"/>
          <w:sz w:val="28"/>
          <w:szCs w:val="28"/>
        </w:rPr>
        <w:fldChar w:fldCharType="end"/>
      </w:r>
    </w:p>
    <w:p>
      <w:pPr>
        <w:pStyle w:val="20"/>
        <w:keepNext w:val="0"/>
        <w:keepLines w:val="0"/>
        <w:pageBreakBefore w:val="0"/>
        <w:widowControl/>
        <w:tabs>
          <w:tab w:val="right" w:leader="dot" w:pos="8731"/>
        </w:tabs>
        <w:kinsoku/>
        <w:wordWrap/>
        <w:overflowPunct/>
        <w:topLinePunct w:val="0"/>
        <w:autoSpaceDE/>
        <w:autoSpaceDN/>
        <w:bidi w:val="0"/>
        <w:adjustRightInd/>
        <w:spacing w:line="360" w:lineRule="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_Toc32304 </w:instrText>
      </w:r>
      <w:r>
        <w:rPr>
          <w:rFonts w:hint="eastAsia" w:ascii="宋体" w:hAnsi="宋体" w:eastAsia="宋体" w:cs="宋体"/>
          <w:sz w:val="28"/>
          <w:szCs w:val="28"/>
        </w:rPr>
        <w:fldChar w:fldCharType="separate"/>
      </w:r>
      <w:r>
        <w:rPr>
          <w:rFonts w:hint="eastAsia"/>
          <w:sz w:val="28"/>
          <w:szCs w:val="28"/>
        </w:rPr>
        <w:t>第五节 加大宣传力度</w:t>
      </w:r>
      <w:r>
        <w:rPr>
          <w:sz w:val="28"/>
          <w:szCs w:val="28"/>
        </w:rPr>
        <w:tab/>
      </w:r>
      <w:r>
        <w:rPr>
          <w:sz w:val="28"/>
          <w:szCs w:val="28"/>
        </w:rPr>
        <w:fldChar w:fldCharType="begin"/>
      </w:r>
      <w:r>
        <w:rPr>
          <w:sz w:val="28"/>
          <w:szCs w:val="28"/>
        </w:rPr>
        <w:instrText xml:space="preserve"> PAGEREF _Toc32304 \h </w:instrText>
      </w:r>
      <w:r>
        <w:rPr>
          <w:sz w:val="28"/>
          <w:szCs w:val="28"/>
        </w:rPr>
        <w:fldChar w:fldCharType="separate"/>
      </w:r>
      <w:r>
        <w:rPr>
          <w:sz w:val="28"/>
          <w:szCs w:val="28"/>
        </w:rPr>
        <w:t>- 69 -</w:t>
      </w:r>
      <w:r>
        <w:rPr>
          <w:sz w:val="28"/>
          <w:szCs w:val="28"/>
        </w:rPr>
        <w:fldChar w:fldCharType="end"/>
      </w:r>
      <w:r>
        <w:rPr>
          <w:rFonts w:hint="eastAsia" w:ascii="宋体" w:hAnsi="宋体" w:eastAsia="宋体" w:cs="宋体"/>
          <w:sz w:val="28"/>
          <w:szCs w:val="28"/>
        </w:rPr>
        <w:fldChar w:fldCharType="end"/>
      </w:r>
    </w:p>
    <w:p>
      <w:pPr>
        <w:keepNext w:val="0"/>
        <w:keepLines w:val="0"/>
        <w:pageBreakBefore w:val="0"/>
        <w:widowControl/>
        <w:kinsoku/>
        <w:wordWrap/>
        <w:overflowPunct/>
        <w:topLinePunct w:val="0"/>
        <w:autoSpaceDE/>
        <w:autoSpaceDN/>
        <w:bidi w:val="0"/>
        <w:adjustRightInd/>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fldChar w:fldCharType="end"/>
      </w:r>
    </w:p>
    <w:p>
      <w:pPr>
        <w:snapToGrid w:val="0"/>
        <w:spacing w:before="312" w:beforeAutospacing="1" w:after="312" w:afterAutospacing="1" w:line="360" w:lineRule="auto"/>
        <w:jc w:val="left"/>
        <w:textAlignment w:val="baseline"/>
        <w:rPr>
          <w:rFonts w:ascii="宋体" w:hAnsi="宋体" w:eastAsia="宋体" w:cs="宋体"/>
          <w:kern w:val="0"/>
          <w:sz w:val="20"/>
          <w:szCs w:val="28"/>
        </w:rPr>
        <w:sectPr>
          <w:pgSz w:w="11905" w:h="16838"/>
          <w:pgMar w:top="1814" w:right="1587" w:bottom="1701" w:left="1587" w:header="720" w:footer="720" w:gutter="0"/>
          <w:pgNumType w:fmt="numberInDash" w:start="1"/>
          <w:cols w:space="0" w:num="1"/>
          <w:titlePg/>
        </w:sectPr>
      </w:pPr>
    </w:p>
    <w:p>
      <w:pPr>
        <w:pStyle w:val="3"/>
        <w:snapToGrid w:val="0"/>
        <w:spacing w:before="0" w:after="0" w:line="360" w:lineRule="auto"/>
        <w:jc w:val="center"/>
        <w:textAlignment w:val="baseline"/>
        <w:rPr>
          <w:rFonts w:ascii="方正小标宋简体" w:eastAsia="方正小标宋简体"/>
          <w:b w:val="0"/>
        </w:rPr>
      </w:pPr>
      <w:bookmarkStart w:id="48" w:name="_Toc30962"/>
      <w:bookmarkStart w:id="49" w:name="_Toc14774"/>
      <w:bookmarkStart w:id="50" w:name="_Toc31545"/>
      <w:bookmarkStart w:id="51" w:name="_Toc8802"/>
      <w:r>
        <w:rPr>
          <w:rFonts w:hint="eastAsia" w:ascii="方正小标宋简体" w:eastAsia="方正小标宋简体"/>
          <w:b w:val="0"/>
        </w:rPr>
        <w:t>前   言</w:t>
      </w:r>
      <w:bookmarkEnd w:id="48"/>
    </w:p>
    <w:p>
      <w:pPr>
        <w:pStyle w:val="3"/>
        <w:snapToGrid w:val="0"/>
        <w:spacing w:before="0" w:after="0" w:line="360" w:lineRule="auto"/>
        <w:ind w:firstLine="480" w:firstLineChars="150"/>
        <w:textAlignment w:val="baseline"/>
        <w:rPr>
          <w:rFonts w:hint="eastAsia" w:ascii="仿宋_GB2312" w:hAnsi="仿宋_GB2312" w:eastAsia="仿宋_GB2312" w:cs="仿宋_GB2312"/>
          <w:b w:val="0"/>
          <w:kern w:val="0"/>
          <w:sz w:val="32"/>
          <w:szCs w:val="32"/>
        </w:rPr>
      </w:pPr>
      <w:bookmarkStart w:id="52" w:name="_Toc5536"/>
      <w:bookmarkStart w:id="53" w:name="_Toc15037"/>
      <w:bookmarkStart w:id="54" w:name="_Toc28068"/>
      <w:bookmarkStart w:id="55" w:name="_Toc11221"/>
      <w:bookmarkStart w:id="56" w:name="_Toc75860056"/>
      <w:bookmarkStart w:id="57" w:name="_Toc32595"/>
      <w:bookmarkStart w:id="58" w:name="_Toc31786"/>
      <w:bookmarkStart w:id="59" w:name="_Toc90584022"/>
      <w:bookmarkStart w:id="60" w:name="_Toc11829"/>
    </w:p>
    <w:p>
      <w:pPr>
        <w:pStyle w:val="3"/>
        <w:snapToGrid w:val="0"/>
        <w:spacing w:before="0" w:after="0" w:line="360" w:lineRule="auto"/>
        <w:ind w:firstLine="480" w:firstLineChars="150"/>
        <w:textAlignment w:val="baseline"/>
        <w:rPr>
          <w:rFonts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十四五”时期是全面建成小康社会、实现第一个百年奋斗目标之后，乘势而上开启全面建设社会主义现代化国家新征程、向第二个百年奋斗目标进军的第一个五年。为贯彻落实党中央、国务院和省委、省政府关于人力资源社会保障工作一系列工作部署要求，推动全州人力资源和社会保障事业高质量发展，不断增强人民群众获得感和幸福感，根据《人力资源和社会保障事业发展“十四五”规划》《“十四五”就业促进规划》</w:t>
      </w:r>
      <w:r>
        <w:rPr>
          <w:rFonts w:hint="eastAsia" w:ascii="仿宋_GB2312" w:hAnsi="仿宋_GB2312" w:eastAsia="仿宋_GB2312" w:cs="仿宋_GB2312"/>
          <w:b w:val="0"/>
          <w:kern w:val="0"/>
          <w:sz w:val="32"/>
          <w:szCs w:val="32"/>
          <w:lang w:eastAsia="zh-CN"/>
        </w:rPr>
        <w:t>《</w:t>
      </w:r>
      <w:r>
        <w:rPr>
          <w:rFonts w:hint="eastAsia" w:ascii="仿宋_GB2312" w:hAnsi="仿宋_GB2312" w:eastAsia="仿宋_GB2312" w:cs="仿宋_GB2312"/>
          <w:b w:val="0"/>
          <w:kern w:val="0"/>
          <w:sz w:val="32"/>
          <w:szCs w:val="32"/>
        </w:rPr>
        <w:t>“十四五”</w:t>
      </w:r>
      <w:r>
        <w:rPr>
          <w:rFonts w:hint="eastAsia" w:ascii="仿宋_GB2312" w:hAnsi="仿宋_GB2312" w:eastAsia="仿宋_GB2312" w:cs="仿宋_GB2312"/>
          <w:b w:val="0"/>
          <w:kern w:val="0"/>
          <w:sz w:val="32"/>
          <w:szCs w:val="32"/>
          <w:lang w:eastAsia="zh-CN"/>
        </w:rPr>
        <w:t>职业技能培训规划》</w:t>
      </w:r>
      <w:r>
        <w:rPr>
          <w:rFonts w:hint="eastAsia" w:ascii="仿宋_GB2312" w:hAnsi="仿宋_GB2312" w:eastAsia="仿宋_GB2312" w:cs="仿宋_GB2312"/>
          <w:b w:val="0"/>
          <w:kern w:val="0"/>
          <w:sz w:val="32"/>
          <w:szCs w:val="32"/>
        </w:rPr>
        <w:t>和《贵州省“十四五”促进城乡就业创业规划》《贵州省“十四五”人才发展规划》《贵州省“十四五”社会保障事业发展规划》</w:t>
      </w:r>
      <w:r>
        <w:rPr>
          <w:rFonts w:hint="eastAsia" w:ascii="仿宋_GB2312" w:hAnsi="仿宋_GB2312" w:eastAsia="仿宋_GB2312" w:cs="仿宋_GB2312"/>
          <w:b w:val="0"/>
          <w:kern w:val="0"/>
          <w:sz w:val="32"/>
          <w:szCs w:val="32"/>
          <w:lang w:eastAsia="zh-CN"/>
        </w:rPr>
        <w:t>《贵州省</w:t>
      </w:r>
      <w:r>
        <w:rPr>
          <w:rFonts w:hint="eastAsia" w:ascii="仿宋_GB2312" w:hAnsi="仿宋_GB2312" w:eastAsia="仿宋_GB2312" w:cs="仿宋_GB2312"/>
          <w:b w:val="0"/>
          <w:kern w:val="0"/>
          <w:sz w:val="32"/>
          <w:szCs w:val="32"/>
        </w:rPr>
        <w:t>“十四五”</w:t>
      </w:r>
      <w:r>
        <w:rPr>
          <w:rFonts w:hint="eastAsia" w:ascii="仿宋_GB2312" w:hAnsi="仿宋_GB2312" w:eastAsia="仿宋_GB2312" w:cs="仿宋_GB2312"/>
          <w:b w:val="0"/>
          <w:kern w:val="0"/>
          <w:sz w:val="32"/>
          <w:szCs w:val="32"/>
          <w:lang w:eastAsia="zh-CN"/>
        </w:rPr>
        <w:t>农村人力资源开发规划》</w:t>
      </w:r>
      <w:r>
        <w:rPr>
          <w:rFonts w:hint="eastAsia" w:ascii="仿宋_GB2312" w:hAnsi="仿宋_GB2312" w:eastAsia="仿宋_GB2312" w:cs="仿宋_GB2312"/>
          <w:b w:val="0"/>
          <w:kern w:val="0"/>
          <w:sz w:val="32"/>
          <w:szCs w:val="32"/>
        </w:rPr>
        <w:t>《黔南州国民经济和社会发展第十四个五年规划和二</w:t>
      </w:r>
      <w:r>
        <w:rPr>
          <w:rFonts w:hint="eastAsia" w:ascii="宋体" w:hAnsi="宋体" w:eastAsia="宋体" w:cs="宋体"/>
          <w:b w:val="0"/>
          <w:kern w:val="0"/>
          <w:sz w:val="32"/>
          <w:szCs w:val="32"/>
        </w:rPr>
        <w:t>〇</w:t>
      </w:r>
      <w:r>
        <w:rPr>
          <w:rFonts w:hint="eastAsia" w:ascii="仿宋_GB2312" w:hAnsi="仿宋_GB2312" w:eastAsia="仿宋_GB2312" w:cs="仿宋_GB2312"/>
          <w:b w:val="0"/>
          <w:kern w:val="0"/>
          <w:sz w:val="32"/>
          <w:szCs w:val="32"/>
        </w:rPr>
        <w:t>三五年远景目标纲要》，制定本规划。</w:t>
      </w:r>
      <w:bookmarkEnd w:id="52"/>
      <w:bookmarkEnd w:id="53"/>
      <w:bookmarkEnd w:id="54"/>
      <w:bookmarkEnd w:id="55"/>
      <w:bookmarkEnd w:id="56"/>
      <w:bookmarkEnd w:id="57"/>
      <w:bookmarkEnd w:id="58"/>
      <w:bookmarkEnd w:id="59"/>
      <w:bookmarkEnd w:id="60"/>
    </w:p>
    <w:p>
      <w:pPr>
        <w:pStyle w:val="3"/>
        <w:snapToGrid w:val="0"/>
        <w:spacing w:before="0" w:after="0" w:line="360" w:lineRule="auto"/>
        <w:jc w:val="center"/>
        <w:textAlignment w:val="baseline"/>
        <w:rPr>
          <w:rFonts w:ascii="方正小标宋简体" w:eastAsia="方正小标宋简体"/>
          <w:b w:val="0"/>
        </w:rPr>
      </w:pPr>
    </w:p>
    <w:p>
      <w:pPr>
        <w:pStyle w:val="3"/>
        <w:snapToGrid w:val="0"/>
        <w:spacing w:before="0" w:after="0" w:line="360" w:lineRule="auto"/>
        <w:jc w:val="center"/>
        <w:textAlignment w:val="baseline"/>
        <w:rPr>
          <w:rFonts w:ascii="方正小标宋简体" w:eastAsia="方正小标宋简体"/>
          <w:b w:val="0"/>
        </w:rPr>
      </w:pPr>
    </w:p>
    <w:p>
      <w:pPr>
        <w:pStyle w:val="3"/>
        <w:snapToGrid w:val="0"/>
        <w:spacing w:before="0" w:after="0" w:line="360" w:lineRule="auto"/>
        <w:jc w:val="center"/>
        <w:textAlignment w:val="baseline"/>
        <w:rPr>
          <w:rFonts w:ascii="方正小标宋简体" w:eastAsia="方正小标宋简体"/>
          <w:b w:val="0"/>
        </w:rPr>
      </w:pPr>
    </w:p>
    <w:p>
      <w:pPr>
        <w:snapToGrid w:val="0"/>
        <w:textAlignment w:val="baseline"/>
        <w:rPr>
          <w:rFonts w:eastAsia="方正小标宋简体"/>
          <w:sz w:val="20"/>
        </w:rPr>
      </w:pPr>
    </w:p>
    <w:p>
      <w:pPr>
        <w:snapToGrid w:val="0"/>
        <w:textAlignment w:val="baseline"/>
        <w:rPr>
          <w:rFonts w:eastAsia="方正小标宋简体"/>
          <w:sz w:val="20"/>
        </w:rPr>
      </w:pPr>
    </w:p>
    <w:p>
      <w:pPr>
        <w:pStyle w:val="3"/>
        <w:snapToGrid w:val="0"/>
        <w:spacing w:before="0" w:after="0" w:line="360" w:lineRule="auto"/>
        <w:jc w:val="center"/>
        <w:textAlignment w:val="baseline"/>
        <w:rPr>
          <w:rFonts w:ascii="方正小标宋简体" w:eastAsia="方正小标宋简体"/>
          <w:b w:val="0"/>
        </w:rPr>
      </w:pPr>
      <w:bookmarkStart w:id="61" w:name="_Toc75860057"/>
      <w:bookmarkStart w:id="62" w:name="_Toc7818"/>
      <w:r>
        <w:rPr>
          <w:rFonts w:hint="eastAsia" w:ascii="方正小标宋简体" w:eastAsia="方正小标宋简体"/>
          <w:b w:val="0"/>
        </w:rPr>
        <w:t xml:space="preserve">第一章 </w:t>
      </w:r>
      <w:bookmarkEnd w:id="49"/>
      <w:bookmarkEnd w:id="50"/>
      <w:bookmarkEnd w:id="51"/>
      <w:bookmarkEnd w:id="61"/>
      <w:r>
        <w:rPr>
          <w:rFonts w:hint="eastAsia" w:ascii="方正小标宋简体" w:eastAsia="方正小标宋简体"/>
          <w:b w:val="0"/>
        </w:rPr>
        <w:t>发展基础与面临形势</w:t>
      </w:r>
      <w:bookmarkEnd w:id="62"/>
    </w:p>
    <w:p>
      <w:pPr>
        <w:pStyle w:val="4"/>
        <w:snapToGrid w:val="0"/>
        <w:jc w:val="center"/>
        <w:textAlignment w:val="baseline"/>
      </w:pPr>
      <w:bookmarkStart w:id="63" w:name="_Toc75860058"/>
      <w:bookmarkStart w:id="64" w:name="_Toc29312"/>
      <w:r>
        <w:rPr>
          <w:rFonts w:hint="eastAsia"/>
        </w:rPr>
        <w:t>第一节 发展基础</w:t>
      </w:r>
      <w:bookmarkEnd w:id="63"/>
      <w:bookmarkEnd w:id="64"/>
    </w:p>
    <w:p>
      <w:pPr>
        <w:shd w:val="clear" w:color="auto" w:fill="FFFFFF"/>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“十三五”时期，面对国内外风险挑战和不稳定不确定因素以及新冠肺炎疫情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冲击，黔南州坚持以习近平新时代中国特色社会主义思想为指导，深入贯彻落实中央、省委决策部署，主动适应经济社会发展的新变化和人民群众改善民生的新期待，围绕中心、服务大局、深化改革、稳中有进，统筹谋划和推动人力资源社会保障事业发展，总体完成了“十三五”时期的主要目标和重点任务，为“十四五”时期发展奠定了坚实基础。</w:t>
      </w:r>
    </w:p>
    <w:p>
      <w:pPr>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（一）就业创业质量持续提升</w:t>
      </w:r>
    </w:p>
    <w:p>
      <w:pPr>
        <w:snapToGrid w:val="0"/>
        <w:spacing w:line="360" w:lineRule="auto"/>
        <w:ind w:firstLine="642" w:firstLineChars="200"/>
        <w:textAlignment w:val="baseline"/>
        <w:rPr>
          <w:rFonts w:hAnsi="仿宋_GB2312" w:eastAsia="仿宋_GB2312"/>
          <w:sz w:val="32"/>
          <w:szCs w:val="32"/>
        </w:rPr>
      </w:pPr>
      <w:r>
        <w:rPr>
          <w:rFonts w:hint="eastAsia" w:ascii="仿宋" w:hAnsi="仿宋" w:eastAsia="仿宋" w:cs="仿宋"/>
          <w:b/>
          <w:bCs/>
          <w:sz w:val="32"/>
          <w:szCs w:val="32"/>
        </w:rPr>
        <w:t>——就业局势保持总体稳定。</w:t>
      </w:r>
      <w:r>
        <w:rPr>
          <w:rFonts w:hint="eastAsia" w:ascii="仿宋_GB2312" w:hAnsi="仿宋_GB2312" w:eastAsia="仿宋_GB2312" w:cs="仿宋_GB2312"/>
          <w:sz w:val="32"/>
          <w:szCs w:val="32"/>
        </w:rPr>
        <w:t>坚持贯彻落实就业优先战略，</w:t>
      </w:r>
      <w:r>
        <w:rPr>
          <w:rFonts w:hint="eastAsia" w:hAnsi="仿宋_GB2312" w:eastAsia="仿宋_GB2312"/>
          <w:sz w:val="32"/>
          <w:szCs w:val="32"/>
        </w:rPr>
        <w:t>把“稳就业”“保居民就业”作为重大政治任务和头等大事，</w:t>
      </w:r>
      <w:r>
        <w:rPr>
          <w:rFonts w:hint="eastAsia" w:ascii="仿宋_GB2312" w:hAnsi="仿宋_GB2312" w:eastAsia="仿宋_GB2312" w:cs="仿宋_GB2312"/>
          <w:sz w:val="32"/>
          <w:szCs w:val="32"/>
        </w:rPr>
        <w:t>实施更加积极的就业政策，</w:t>
      </w:r>
      <w:r>
        <w:rPr>
          <w:rFonts w:hint="eastAsia" w:hAnsi="仿宋_GB2312" w:eastAsia="仿宋_GB2312"/>
          <w:sz w:val="32"/>
          <w:szCs w:val="32"/>
        </w:rPr>
        <w:t>全力稳定就业形势，</w:t>
      </w:r>
      <w:r>
        <w:rPr>
          <w:rFonts w:hint="eastAsia" w:ascii="仿宋_GB2312" w:hAnsi="仿宋_GB2312" w:eastAsia="仿宋_GB2312" w:cs="仿宋_GB2312"/>
          <w:sz w:val="32"/>
          <w:szCs w:val="32"/>
        </w:rPr>
        <w:t>稳就业保就业政策措施不断完善，就业质量不断提高</w:t>
      </w:r>
      <w:r>
        <w:rPr>
          <w:rFonts w:hint="eastAsia" w:hAnsi="仿宋_GB2312" w:eastAsia="仿宋_GB2312"/>
          <w:sz w:val="32"/>
          <w:szCs w:val="32"/>
        </w:rPr>
        <w:t>。</w:t>
      </w:r>
      <w:r>
        <w:rPr>
          <w:rFonts w:hint="eastAsia" w:ascii="仿宋_GB2312" w:hAnsi="仿宋_GB2312" w:eastAsia="仿宋_GB2312" w:cs="仿宋_GB2312"/>
          <w:sz w:val="32"/>
          <w:szCs w:val="32"/>
        </w:rPr>
        <w:t>“十三五”期间，</w:t>
      </w:r>
      <w:r>
        <w:rPr>
          <w:rFonts w:hint="eastAsia" w:hAnsi="仿宋_GB2312" w:eastAsia="仿宋_GB2312"/>
          <w:sz w:val="32"/>
          <w:szCs w:val="32"/>
        </w:rPr>
        <w:t>全州累计实现城镇新增就业</w:t>
      </w:r>
      <w:r>
        <w:rPr>
          <w:rFonts w:eastAsia="仿宋_GB2312"/>
          <w:sz w:val="32"/>
          <w:szCs w:val="32"/>
        </w:rPr>
        <w:t>35.32</w:t>
      </w:r>
      <w:r>
        <w:rPr>
          <w:rFonts w:hint="eastAsia" w:hAnsi="仿宋_GB2312" w:eastAsia="仿宋_GB2312"/>
          <w:sz w:val="32"/>
          <w:szCs w:val="32"/>
        </w:rPr>
        <w:t>万人，城镇登记失业率控制在</w:t>
      </w:r>
      <w:r>
        <w:rPr>
          <w:rFonts w:eastAsia="仿宋_GB2312"/>
          <w:sz w:val="32"/>
          <w:szCs w:val="32"/>
        </w:rPr>
        <w:t>4.2%</w:t>
      </w:r>
      <w:r>
        <w:rPr>
          <w:rFonts w:hint="eastAsia" w:hAnsi="仿宋_GB2312" w:eastAsia="仿宋_GB2312"/>
          <w:sz w:val="32"/>
          <w:szCs w:val="32"/>
        </w:rPr>
        <w:t>以内。</w:t>
      </w:r>
    </w:p>
    <w:p>
      <w:pPr>
        <w:widowControl w:val="0"/>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 w:hAnsi="仿宋" w:eastAsia="仿宋" w:cs="仿宋"/>
          <w:b/>
          <w:bCs/>
          <w:sz w:val="32"/>
          <w:szCs w:val="32"/>
        </w:rPr>
        <w:t>——重点群体就业成效明显。</w:t>
      </w:r>
      <w:r>
        <w:rPr>
          <w:rFonts w:hint="eastAsia" w:ascii="仿宋_GB2312" w:hAnsi="仿宋_GB2312" w:eastAsia="仿宋_GB2312" w:cs="仿宋_GB2312"/>
          <w:sz w:val="32"/>
          <w:szCs w:val="32"/>
        </w:rPr>
        <w:t>鼓励和扶持高校毕业生、农民工、退役军人、城乡就业困难人员等重点群体就业创业，举办多渠道多形式的“线上+线下”的人力资源招聘活动，有力促进各类劳动力群体实现就业创业。</w:t>
      </w:r>
      <w:bookmarkStart w:id="65" w:name="_Toc13427"/>
      <w:r>
        <w:rPr>
          <w:rFonts w:hint="eastAsia" w:ascii="仿宋_GB2312" w:hAnsi="仿宋_GB2312" w:eastAsia="仿宋_GB2312" w:cs="仿宋_GB2312"/>
          <w:sz w:val="32"/>
          <w:szCs w:val="32"/>
        </w:rPr>
        <w:t>累计实现贫困劳动力外</w:t>
      </w:r>
      <w:r>
        <w:rPr>
          <w:rFonts w:hint="eastAsia" w:eastAsia="仿宋_GB2312"/>
          <w:sz w:val="32"/>
          <w:szCs w:val="32"/>
        </w:rPr>
        <w:t>出务工</w:t>
      </w:r>
      <w:r>
        <w:rPr>
          <w:rFonts w:eastAsia="仿宋_GB2312"/>
          <w:sz w:val="32"/>
          <w:szCs w:val="32"/>
        </w:rPr>
        <w:t>44.09</w:t>
      </w:r>
      <w:r>
        <w:rPr>
          <w:rFonts w:hint="eastAsia" w:ascii="仿宋_GB2312" w:hAnsi="仿宋_GB2312" w:eastAsia="仿宋_GB2312" w:cs="仿宋_GB2312"/>
          <w:sz w:val="32"/>
          <w:szCs w:val="32"/>
        </w:rPr>
        <w:t>万人，全州有劳动力的建档立卡和易地扶贫搬迁家庭实现“一户一人”以上就业，“零就业家庭”动态清零。</w:t>
      </w:r>
      <w:bookmarkEnd w:id="65"/>
    </w:p>
    <w:p>
      <w:pPr>
        <w:snapToGrid w:val="0"/>
        <w:spacing w:line="360" w:lineRule="auto"/>
        <w:ind w:firstLine="640" w:firstLineChars="200"/>
        <w:textAlignment w:val="baseline"/>
        <w:rPr>
          <w:rFonts w:eastAsia="仿宋_GB2312"/>
          <w:sz w:val="32"/>
          <w:szCs w:val="32"/>
        </w:rPr>
      </w:pPr>
      <w:r>
        <w:rPr>
          <w:rFonts w:hint="eastAsia" w:ascii="仿宋_GB2312" w:hAnsi="仿宋_GB2312" w:eastAsia="仿宋_GB2312" w:cs="仿宋_GB2312"/>
          <w:sz w:val="32"/>
          <w:szCs w:val="32"/>
        </w:rPr>
        <w:t>——</w:t>
      </w:r>
      <w:r>
        <w:rPr>
          <w:rFonts w:hint="eastAsia" w:ascii="仿宋" w:hAnsi="仿宋" w:eastAsia="仿宋" w:cs="仿宋"/>
          <w:b/>
          <w:bCs/>
          <w:kern w:val="0"/>
          <w:sz w:val="32"/>
          <w:szCs w:val="32"/>
        </w:rPr>
        <w:t>创业带动就业持续推进。</w:t>
      </w:r>
      <w:r>
        <w:rPr>
          <w:rFonts w:hint="eastAsia" w:ascii="仿宋_GB2312" w:hAnsi="仿宋_GB2312" w:eastAsia="仿宋_GB2312" w:cs="仿宋_GB2312"/>
          <w:sz w:val="32"/>
          <w:szCs w:val="32"/>
        </w:rPr>
        <w:t>大力开展农民全员培训、职业技能提升行动、“雁归兴贵”等行</w:t>
      </w:r>
      <w:r>
        <w:rPr>
          <w:rFonts w:hint="eastAsia" w:eastAsia="仿宋_GB2312"/>
          <w:sz w:val="32"/>
          <w:szCs w:val="32"/>
        </w:rPr>
        <w:t>动计划，加大对初创企业的扶持力度，充分发挥各类创业补贴的效益，持续扩大创业政策扶持范围。</w:t>
      </w:r>
      <w:r>
        <w:rPr>
          <w:rFonts w:hint="eastAsia" w:ascii="仿宋_GB2312" w:hAnsi="仿宋_GB2312" w:eastAsia="仿宋_GB2312" w:cs="仿宋_GB2312"/>
          <w:sz w:val="32"/>
          <w:szCs w:val="32"/>
        </w:rPr>
        <w:t>“十三五”期间</w:t>
      </w:r>
      <w:r>
        <w:rPr>
          <w:rFonts w:hint="eastAsia" w:eastAsia="仿宋_GB2312"/>
          <w:sz w:val="32"/>
          <w:szCs w:val="32"/>
        </w:rPr>
        <w:t>，统筹城乡培训</w:t>
      </w:r>
      <w:r>
        <w:rPr>
          <w:rFonts w:hint="eastAsia" w:eastAsia="仿宋_GB2312"/>
          <w:sz w:val="32"/>
          <w:szCs w:val="32"/>
          <w:lang w:val="en-US" w:eastAsia="zh-CN"/>
        </w:rPr>
        <w:t>32.69</w:t>
      </w:r>
      <w:r>
        <w:rPr>
          <w:rFonts w:hint="eastAsia" w:eastAsia="仿宋_GB2312"/>
          <w:sz w:val="32"/>
          <w:szCs w:val="32"/>
        </w:rPr>
        <w:t>万人，新增转移农业劳动力</w:t>
      </w:r>
      <w:r>
        <w:rPr>
          <w:rFonts w:eastAsia="仿宋_GB2312"/>
          <w:sz w:val="32"/>
          <w:szCs w:val="32"/>
        </w:rPr>
        <w:t>56.18</w:t>
      </w:r>
      <w:r>
        <w:rPr>
          <w:rFonts w:hint="eastAsia" w:eastAsia="仿宋_GB2312"/>
          <w:sz w:val="32"/>
          <w:szCs w:val="32"/>
        </w:rPr>
        <w:t>万人，创建创业孵化园（基地）</w:t>
      </w:r>
      <w:r>
        <w:rPr>
          <w:rFonts w:eastAsia="仿宋_GB2312"/>
          <w:sz w:val="32"/>
          <w:szCs w:val="32"/>
        </w:rPr>
        <w:t>22</w:t>
      </w:r>
      <w:r>
        <w:rPr>
          <w:rFonts w:hint="eastAsia" w:eastAsia="仿宋_GB2312"/>
          <w:sz w:val="32"/>
          <w:szCs w:val="32"/>
        </w:rPr>
        <w:t>个，返乡农民工创业示范园（点）</w:t>
      </w:r>
      <w:r>
        <w:rPr>
          <w:rFonts w:eastAsia="仿宋_GB2312"/>
          <w:sz w:val="32"/>
          <w:szCs w:val="32"/>
        </w:rPr>
        <w:t>20</w:t>
      </w:r>
      <w:r>
        <w:rPr>
          <w:rFonts w:hint="eastAsia" w:eastAsia="仿宋_GB2312"/>
          <w:sz w:val="32"/>
          <w:szCs w:val="32"/>
        </w:rPr>
        <w:t>个。</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 w:hAnsi="仿宋" w:eastAsia="仿宋" w:cs="仿宋"/>
          <w:b/>
          <w:bCs/>
          <w:sz w:val="32"/>
          <w:szCs w:val="32"/>
        </w:rPr>
        <w:t>——就业服务能力不断提高。</w:t>
      </w:r>
      <w:r>
        <w:rPr>
          <w:rFonts w:hint="eastAsia" w:ascii="仿宋_GB2312" w:hAnsi="仿宋_GB2312" w:eastAsia="仿宋_GB2312" w:cs="仿宋_GB2312"/>
          <w:sz w:val="32"/>
          <w:szCs w:val="32"/>
        </w:rPr>
        <w:t>州县两级成立公益性劳务公司或人力资源公司，乡村两级组建劳务合作社，村级采取“企业+村两委+合作社”模式，加强县乡村三级公共就业服务平台建设。全州建</w:t>
      </w:r>
      <w:r>
        <w:rPr>
          <w:rFonts w:hint="eastAsia" w:eastAsia="仿宋_GB2312"/>
          <w:sz w:val="32"/>
          <w:szCs w:val="32"/>
        </w:rPr>
        <w:t>成</w:t>
      </w:r>
      <w:r>
        <w:rPr>
          <w:rFonts w:eastAsia="仿宋_GB2312"/>
          <w:sz w:val="32"/>
          <w:szCs w:val="32"/>
        </w:rPr>
        <w:t>99</w:t>
      </w:r>
      <w:r>
        <w:rPr>
          <w:rFonts w:hint="eastAsia" w:eastAsia="仿宋_GB2312"/>
          <w:sz w:val="32"/>
          <w:szCs w:val="32"/>
        </w:rPr>
        <w:t>个</w:t>
      </w:r>
      <w:r>
        <w:rPr>
          <w:rFonts w:hint="eastAsia" w:ascii="仿宋_GB2312" w:hAnsi="仿宋_GB2312" w:eastAsia="仿宋_GB2312" w:cs="仿宋_GB2312"/>
          <w:sz w:val="32"/>
          <w:szCs w:val="32"/>
        </w:rPr>
        <w:t>易地扶贫搬迁点就业创业服务中心</w:t>
      </w:r>
      <w:r>
        <w:rPr>
          <w:rFonts w:hint="eastAsia" w:eastAsia="仿宋_GB2312"/>
          <w:sz w:val="32"/>
          <w:szCs w:val="32"/>
        </w:rPr>
        <w:t>，组建了</w:t>
      </w:r>
      <w:r>
        <w:rPr>
          <w:rFonts w:eastAsia="仿宋_GB2312"/>
          <w:sz w:val="32"/>
          <w:szCs w:val="32"/>
        </w:rPr>
        <w:t>14</w:t>
      </w:r>
      <w:r>
        <w:rPr>
          <w:rFonts w:hint="eastAsia" w:eastAsia="仿宋_GB2312"/>
          <w:sz w:val="32"/>
          <w:szCs w:val="32"/>
        </w:rPr>
        <w:t>个公益性劳务公司、</w:t>
      </w:r>
      <w:r>
        <w:rPr>
          <w:rFonts w:eastAsia="仿宋_GB2312"/>
          <w:sz w:val="32"/>
          <w:szCs w:val="32"/>
        </w:rPr>
        <w:t>104</w:t>
      </w:r>
      <w:r>
        <w:rPr>
          <w:rFonts w:hint="eastAsia" w:eastAsia="仿宋_GB2312"/>
          <w:sz w:val="32"/>
          <w:szCs w:val="32"/>
        </w:rPr>
        <w:t>个乡（镇）劳务公司（劳务合</w:t>
      </w:r>
      <w:r>
        <w:rPr>
          <w:rFonts w:hint="eastAsia" w:ascii="仿宋_GB2312" w:hAnsi="仿宋_GB2312" w:eastAsia="仿宋_GB2312" w:cs="仿宋_GB2312"/>
          <w:sz w:val="32"/>
          <w:szCs w:val="32"/>
        </w:rPr>
        <w:t>作社）。</w:t>
      </w:r>
    </w:p>
    <w:p>
      <w:pPr>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（二）社会保障工作提质扩面</w:t>
      </w:r>
    </w:p>
    <w:p>
      <w:pPr>
        <w:pStyle w:val="23"/>
        <w:widowControl w:val="0"/>
        <w:snapToGrid w:val="0"/>
        <w:spacing w:before="0" w:after="0" w:line="360" w:lineRule="auto"/>
        <w:ind w:firstLine="645"/>
        <w:jc w:val="both"/>
        <w:textAlignment w:val="baseline"/>
      </w:pPr>
      <w:bookmarkStart w:id="66" w:name="_Toc90584025"/>
      <w:bookmarkStart w:id="67" w:name="_Toc1456"/>
      <w:bookmarkStart w:id="68" w:name="_Toc31823"/>
      <w:bookmarkStart w:id="69" w:name="_Toc25719"/>
      <w:bookmarkStart w:id="70" w:name="_Toc18378"/>
      <w:bookmarkStart w:id="71" w:name="_Toc9713"/>
      <w:bookmarkStart w:id="72" w:name="_Toc20924"/>
      <w:bookmarkStart w:id="73" w:name="_Toc12189"/>
      <w:r>
        <w:rPr>
          <w:rFonts w:hint="eastAsia" w:ascii="Times New Roman" w:hAnsi="仿宋_GB2312" w:eastAsia="仿宋_GB2312"/>
        </w:rPr>
        <w:t>——覆盖范围不断扩大。</w:t>
      </w:r>
      <w:r>
        <w:rPr>
          <w:rFonts w:hint="eastAsia" w:ascii="Times New Roman" w:hAnsi="Times New Roman" w:eastAsia="仿宋_GB2312"/>
          <w:b w:val="0"/>
        </w:rPr>
        <w:t>坚持“全覆盖、保基本、多层次、可持续”方针，实施全民参保计划，推进扩面征缴，基本实现法定人员参保全覆盖。</w:t>
      </w:r>
      <w:r>
        <w:rPr>
          <w:rFonts w:hint="eastAsia" w:ascii="仿宋_GB2312" w:hAnsi="仿宋_GB2312" w:eastAsia="仿宋_GB2312" w:cs="仿宋_GB2312"/>
          <w:b w:val="0"/>
        </w:rPr>
        <w:t>全面落实社会保险扶贫政策，全州符合参保条</w:t>
      </w:r>
      <w:r>
        <w:rPr>
          <w:rFonts w:hint="eastAsia" w:ascii="Times New Roman" w:hAnsi="Times New Roman" w:eastAsia="仿宋_GB2312"/>
          <w:b w:val="0"/>
        </w:rPr>
        <w:t>件的贫困人员</w:t>
      </w:r>
      <w:r>
        <w:rPr>
          <w:rFonts w:ascii="Times New Roman" w:hAnsi="Times New Roman" w:eastAsia="仿宋_GB2312"/>
          <w:b w:val="0"/>
        </w:rPr>
        <w:t>74.85</w:t>
      </w:r>
      <w:r>
        <w:rPr>
          <w:rFonts w:hint="eastAsia" w:ascii="Times New Roman" w:hAnsi="仿宋_GB2312" w:eastAsia="仿宋_GB2312"/>
          <w:b w:val="0"/>
        </w:rPr>
        <w:t>万人实现应保尽保。</w:t>
      </w:r>
      <w:r>
        <w:rPr>
          <w:rFonts w:hint="eastAsia" w:ascii="Times New Roman" w:hAnsi="Times New Roman" w:eastAsia="仿宋_GB2312"/>
          <w:b w:val="0"/>
        </w:rPr>
        <w:t>“十三五”末，全州参加城镇职工基本养老保险、城乡居民基本养老保险、失业保险、工伤保险人数分别达到</w:t>
      </w:r>
      <w:r>
        <w:rPr>
          <w:rFonts w:ascii="Times New Roman" w:hAnsi="Times New Roman" w:eastAsia="仿宋_GB2312"/>
          <w:b w:val="0"/>
        </w:rPr>
        <w:t>43.47</w:t>
      </w:r>
      <w:r>
        <w:rPr>
          <w:rFonts w:hint="eastAsia" w:ascii="Times New Roman" w:hAnsi="Times New Roman" w:eastAsia="仿宋_GB2312"/>
          <w:b w:val="0"/>
        </w:rPr>
        <w:t>万人、</w:t>
      </w:r>
      <w:r>
        <w:rPr>
          <w:rFonts w:ascii="Times New Roman" w:hAnsi="Times New Roman" w:eastAsia="仿宋_GB2312"/>
          <w:b w:val="0"/>
        </w:rPr>
        <w:t>225.96</w:t>
      </w:r>
      <w:r>
        <w:rPr>
          <w:rFonts w:hint="eastAsia" w:ascii="Times New Roman" w:hAnsi="Times New Roman" w:eastAsia="仿宋_GB2312"/>
          <w:b w:val="0"/>
        </w:rPr>
        <w:t>万人、</w:t>
      </w:r>
      <w:r>
        <w:rPr>
          <w:rFonts w:ascii="Times New Roman" w:hAnsi="Times New Roman" w:eastAsia="仿宋_GB2312"/>
          <w:b w:val="0"/>
        </w:rPr>
        <w:t>21.55</w:t>
      </w:r>
      <w:r>
        <w:rPr>
          <w:rFonts w:hint="eastAsia" w:ascii="Times New Roman" w:hAnsi="Times New Roman" w:eastAsia="仿宋_GB2312"/>
          <w:b w:val="0"/>
        </w:rPr>
        <w:t>万人、</w:t>
      </w:r>
      <w:r>
        <w:rPr>
          <w:rFonts w:ascii="Times New Roman" w:hAnsi="Times New Roman" w:eastAsia="仿宋_GB2312"/>
          <w:b w:val="0"/>
        </w:rPr>
        <w:t>34.24</w:t>
      </w:r>
      <w:r>
        <w:rPr>
          <w:rFonts w:hint="eastAsia" w:ascii="Times New Roman" w:hAnsi="Times New Roman" w:eastAsia="仿宋_GB2312"/>
          <w:b w:val="0"/>
        </w:rPr>
        <w:t>万人，完成“十三五”指标数的</w:t>
      </w:r>
      <w:r>
        <w:rPr>
          <w:rFonts w:ascii="Times New Roman" w:hAnsi="Times New Roman" w:eastAsia="仿宋_GB2312"/>
          <w:b w:val="0"/>
        </w:rPr>
        <w:t>124.2%</w:t>
      </w:r>
      <w:r>
        <w:rPr>
          <w:rFonts w:hint="eastAsia" w:ascii="Times New Roman" w:hAnsi="Times New Roman" w:eastAsia="仿宋_GB2312"/>
          <w:b w:val="0"/>
        </w:rPr>
        <w:t>、</w:t>
      </w:r>
      <w:r>
        <w:rPr>
          <w:rFonts w:ascii="Times New Roman" w:hAnsi="Times New Roman" w:eastAsia="仿宋_GB2312"/>
          <w:b w:val="0"/>
        </w:rPr>
        <w:t>113.5%</w:t>
      </w:r>
      <w:r>
        <w:rPr>
          <w:rFonts w:hint="eastAsia" w:ascii="Times New Roman" w:hAnsi="Times New Roman" w:eastAsia="仿宋_GB2312"/>
          <w:b w:val="0"/>
        </w:rPr>
        <w:t>、</w:t>
      </w:r>
      <w:r>
        <w:rPr>
          <w:rFonts w:ascii="Times New Roman" w:hAnsi="Times New Roman" w:eastAsia="仿宋_GB2312"/>
          <w:b w:val="0"/>
        </w:rPr>
        <w:t>134.7%</w:t>
      </w:r>
      <w:r>
        <w:rPr>
          <w:rFonts w:hint="eastAsia" w:ascii="Times New Roman" w:hAnsi="Times New Roman" w:eastAsia="仿宋_GB2312"/>
          <w:b w:val="0"/>
        </w:rPr>
        <w:t>、</w:t>
      </w:r>
      <w:r>
        <w:rPr>
          <w:rFonts w:ascii="Times New Roman" w:hAnsi="Times New Roman" w:eastAsia="仿宋_GB2312"/>
          <w:b w:val="0"/>
        </w:rPr>
        <w:t>163%</w:t>
      </w:r>
      <w:r>
        <w:rPr>
          <w:rFonts w:hint="eastAsia" w:ascii="Times New Roman" w:hAnsi="Times New Roman" w:eastAsia="仿宋_GB2312"/>
          <w:b w:val="0"/>
        </w:rPr>
        <w:t>。</w:t>
      </w:r>
      <w:bookmarkEnd w:id="66"/>
      <w:bookmarkEnd w:id="67"/>
      <w:bookmarkEnd w:id="68"/>
      <w:bookmarkEnd w:id="69"/>
      <w:bookmarkEnd w:id="70"/>
      <w:bookmarkEnd w:id="71"/>
      <w:bookmarkEnd w:id="72"/>
      <w:bookmarkEnd w:id="73"/>
    </w:p>
    <w:p>
      <w:pPr>
        <w:snapToGrid w:val="0"/>
        <w:spacing w:line="360" w:lineRule="auto"/>
        <w:ind w:firstLine="642"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——待遇水平稳步提高。</w:t>
      </w:r>
      <w:r>
        <w:rPr>
          <w:rFonts w:hint="eastAsia" w:ascii="仿宋_GB2312" w:hAnsi="仿宋_GB2312" w:eastAsia="仿宋_GB2312" w:cs="仿宋_GB2312"/>
          <w:sz w:val="32"/>
          <w:szCs w:val="32"/>
        </w:rPr>
        <w:t>全面实施机关事业单位养老保险制度，实现企业职工基本养老保险基金省级统收统支，全州社会保险待遇水平</w:t>
      </w:r>
      <w:r>
        <w:rPr>
          <w:rFonts w:hint="eastAsia" w:ascii="仿宋_GB2312" w:hAnsi="仿宋_GB2312" w:eastAsia="仿宋_GB2312" w:cs="仿宋_GB2312"/>
          <w:bCs/>
          <w:sz w:val="32"/>
          <w:szCs w:val="32"/>
        </w:rPr>
        <w:t>稳步提高</w:t>
      </w:r>
      <w:r>
        <w:rPr>
          <w:rFonts w:hint="eastAsia" w:hAnsi="仿宋_GB2312" w:eastAsia="仿宋_GB2312"/>
          <w:bCs/>
          <w:sz w:val="32"/>
          <w:szCs w:val="32"/>
        </w:rPr>
        <w:t>。</w:t>
      </w:r>
      <w:r>
        <w:rPr>
          <w:rFonts w:hAnsi="仿宋_GB2312" w:eastAsia="仿宋_GB2312"/>
          <w:bCs/>
          <w:sz w:val="32"/>
          <w:szCs w:val="32"/>
        </w:rPr>
        <w:t>2020</w:t>
      </w:r>
      <w:r>
        <w:rPr>
          <w:rFonts w:hint="eastAsia" w:hAnsi="仿宋_GB2312" w:eastAsia="仿宋_GB2312"/>
          <w:bCs/>
          <w:sz w:val="32"/>
          <w:szCs w:val="32"/>
        </w:rPr>
        <w:t>年养老金水平与</w:t>
      </w:r>
      <w:r>
        <w:rPr>
          <w:rFonts w:eastAsia="仿宋_GB2312"/>
          <w:sz w:val="32"/>
          <w:szCs w:val="32"/>
        </w:rPr>
        <w:t>2015</w:t>
      </w:r>
      <w:r>
        <w:rPr>
          <w:rFonts w:hint="eastAsia" w:hAnsi="仿宋_GB2312" w:eastAsia="仿宋_GB2312"/>
          <w:sz w:val="32"/>
          <w:szCs w:val="32"/>
        </w:rPr>
        <w:t>年相比，</w:t>
      </w:r>
      <w:r>
        <w:rPr>
          <w:rFonts w:hint="eastAsia" w:hAnsi="仿宋_GB2312" w:eastAsia="仿宋_GB2312"/>
          <w:bCs/>
          <w:sz w:val="32"/>
          <w:szCs w:val="32"/>
        </w:rPr>
        <w:t>企</w:t>
      </w:r>
      <w:r>
        <w:rPr>
          <w:rFonts w:hint="eastAsia" w:hAnsi="仿宋_GB2312" w:eastAsia="仿宋_GB2312"/>
          <w:sz w:val="32"/>
          <w:szCs w:val="32"/>
        </w:rPr>
        <w:t>业退休人员月人均养老金在</w:t>
      </w:r>
      <w:r>
        <w:rPr>
          <w:rFonts w:eastAsia="仿宋_GB2312"/>
          <w:sz w:val="32"/>
          <w:szCs w:val="32"/>
        </w:rPr>
        <w:t>1752</w:t>
      </w:r>
      <w:r>
        <w:rPr>
          <w:rFonts w:hint="eastAsia" w:hAnsi="仿宋_GB2312" w:eastAsia="仿宋_GB2312"/>
          <w:sz w:val="32"/>
          <w:szCs w:val="32"/>
        </w:rPr>
        <w:t>元的基础上增加到</w:t>
      </w:r>
      <w:r>
        <w:rPr>
          <w:rFonts w:hAnsi="仿宋_GB2312" w:eastAsia="仿宋_GB2312"/>
          <w:sz w:val="32"/>
          <w:szCs w:val="32"/>
        </w:rPr>
        <w:t>2323</w:t>
      </w:r>
      <w:r>
        <w:rPr>
          <w:rFonts w:hint="eastAsia" w:hAnsi="仿宋_GB2312" w:eastAsia="仿宋_GB2312"/>
          <w:sz w:val="32"/>
          <w:szCs w:val="32"/>
        </w:rPr>
        <w:t>元，增长</w:t>
      </w:r>
      <w:r>
        <w:rPr>
          <w:rFonts w:eastAsia="仿宋_GB2312"/>
          <w:sz w:val="32"/>
          <w:szCs w:val="32"/>
        </w:rPr>
        <w:t>33.56%</w:t>
      </w:r>
      <w:r>
        <w:rPr>
          <w:rFonts w:hint="eastAsia" w:hAnsi="仿宋_GB2312" w:eastAsia="仿宋_GB2312"/>
          <w:sz w:val="32"/>
          <w:szCs w:val="32"/>
        </w:rPr>
        <w:t>，城乡居民基础养老金标准从</w:t>
      </w:r>
      <w:r>
        <w:rPr>
          <w:rFonts w:eastAsia="仿宋_GB2312"/>
          <w:sz w:val="32"/>
          <w:szCs w:val="32"/>
        </w:rPr>
        <w:t>70</w:t>
      </w:r>
      <w:r>
        <w:rPr>
          <w:rFonts w:hint="eastAsia" w:hAnsi="仿宋_GB2312" w:eastAsia="仿宋_GB2312"/>
          <w:sz w:val="32"/>
          <w:szCs w:val="32"/>
        </w:rPr>
        <w:t>元提高到</w:t>
      </w:r>
      <w:r>
        <w:rPr>
          <w:rFonts w:eastAsia="仿宋_GB2312"/>
          <w:sz w:val="32"/>
          <w:szCs w:val="32"/>
        </w:rPr>
        <w:t>98</w:t>
      </w:r>
      <w:r>
        <w:rPr>
          <w:rFonts w:hint="eastAsia" w:hAnsi="仿宋_GB2312" w:eastAsia="仿宋_GB2312"/>
          <w:sz w:val="32"/>
          <w:szCs w:val="32"/>
        </w:rPr>
        <w:t>元，失业保险金月发放标准由</w:t>
      </w:r>
      <w:r>
        <w:rPr>
          <w:rFonts w:eastAsia="仿宋_GB2312"/>
          <w:sz w:val="32"/>
          <w:szCs w:val="32"/>
        </w:rPr>
        <w:t>875</w:t>
      </w:r>
      <w:r>
        <w:rPr>
          <w:rFonts w:hint="eastAsia" w:hAnsi="仿宋_GB2312" w:eastAsia="仿宋_GB2312"/>
          <w:sz w:val="32"/>
          <w:szCs w:val="32"/>
        </w:rPr>
        <w:t>元提高到</w:t>
      </w:r>
      <w:r>
        <w:rPr>
          <w:rFonts w:eastAsia="仿宋_GB2312"/>
          <w:sz w:val="32"/>
          <w:szCs w:val="32"/>
        </w:rPr>
        <w:t>1611</w:t>
      </w:r>
      <w:r>
        <w:rPr>
          <w:rFonts w:hint="eastAsia" w:hAnsi="仿宋_GB2312" w:eastAsia="仿宋_GB2312"/>
          <w:sz w:val="32"/>
          <w:szCs w:val="32"/>
        </w:rPr>
        <w:t>元，增幅达</w:t>
      </w:r>
      <w:r>
        <w:rPr>
          <w:rFonts w:eastAsia="仿宋_GB2312"/>
          <w:sz w:val="32"/>
          <w:szCs w:val="32"/>
        </w:rPr>
        <w:t>84.11%</w:t>
      </w:r>
      <w:r>
        <w:rPr>
          <w:rFonts w:hint="eastAsia" w:hAnsi="仿宋_GB2312" w:eastAsia="仿宋_GB2312"/>
          <w:sz w:val="32"/>
          <w:szCs w:val="32"/>
        </w:rPr>
        <w:t>，</w:t>
      </w:r>
      <w:r>
        <w:rPr>
          <w:rFonts w:hint="eastAsia" w:ascii="仿宋_GB2312" w:hAnsi="仿宋_GB2312" w:eastAsia="仿宋_GB2312" w:cs="仿宋_GB2312"/>
          <w:sz w:val="32"/>
          <w:szCs w:val="32"/>
        </w:rPr>
        <w:t>工伤保险保障水平显著提高</w:t>
      </w:r>
      <w:r>
        <w:rPr>
          <w:rFonts w:hint="eastAsia" w:ascii="仿宋_GB2312" w:hAnsi="仿宋_GB2312" w:eastAsia="仿宋_GB2312" w:cs="仿宋_GB2312"/>
          <w:bCs/>
          <w:sz w:val="32"/>
          <w:szCs w:val="32"/>
        </w:rPr>
        <w:t>。</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——经办服务提质升级。</w:t>
      </w:r>
      <w:r>
        <w:rPr>
          <w:rFonts w:hint="eastAsia" w:eastAsia="仿宋_GB2312"/>
          <w:sz w:val="32"/>
          <w:szCs w:val="32"/>
        </w:rPr>
        <w:t>开通社会保险网上服务大厅，推行综合柜员制集成服务，</w:t>
      </w:r>
      <w:r>
        <w:rPr>
          <w:rFonts w:hint="eastAsia" w:ascii="仿宋_GB2312" w:hAnsi="仿宋_GB2312" w:eastAsia="仿宋_GB2312" w:cs="仿宋_GB2312"/>
          <w:sz w:val="32"/>
          <w:szCs w:val="32"/>
        </w:rPr>
        <w:t>精简办事流程，</w:t>
      </w:r>
      <w:r>
        <w:rPr>
          <w:rFonts w:hint="eastAsia" w:eastAsia="仿宋_GB2312"/>
          <w:sz w:val="32"/>
          <w:szCs w:val="32"/>
        </w:rPr>
        <w:t>缩短办事时限。经办服务</w:t>
      </w:r>
      <w:r>
        <w:rPr>
          <w:rFonts w:hint="eastAsia" w:ascii="仿宋_GB2312" w:hAnsi="仿宋_GB2312" w:eastAsia="仿宋_GB2312" w:cs="仿宋_GB2312"/>
          <w:sz w:val="32"/>
          <w:szCs w:val="32"/>
        </w:rPr>
        <w:t>全面取消手工办理和社银人工报盘，信息化管理服务水平不断提高。州社保服务窗口连续</w:t>
      </w:r>
      <w:r>
        <w:rPr>
          <w:rFonts w:eastAsia="仿宋_GB2312"/>
          <w:sz w:val="32"/>
          <w:szCs w:val="32"/>
        </w:rPr>
        <w:t>9</w:t>
      </w:r>
      <w:r>
        <w:rPr>
          <w:rFonts w:hint="eastAsia" w:eastAsia="仿宋_GB2312"/>
          <w:sz w:val="32"/>
          <w:szCs w:val="32"/>
        </w:rPr>
        <w:t>年荣获全国、全省优质服务窗口称号。</w:t>
      </w:r>
    </w:p>
    <w:p>
      <w:pPr>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（三）人才队伍不断壮大</w:t>
      </w:r>
    </w:p>
    <w:p>
      <w:pPr>
        <w:snapToGrid w:val="0"/>
        <w:spacing w:line="360" w:lineRule="auto"/>
        <w:ind w:firstLine="642" w:firstLineChars="200"/>
        <w:textAlignment w:val="baseline"/>
        <w:rPr>
          <w:rFonts w:eastAsia="仿宋_GB2312"/>
          <w:sz w:val="32"/>
          <w:szCs w:val="32"/>
        </w:rPr>
      </w:pPr>
      <w:r>
        <w:rPr>
          <w:rFonts w:hint="eastAsia" w:ascii="仿宋_GB2312" w:hAnsi="仿宋_GB2312" w:eastAsia="仿宋_GB2312" w:cs="仿宋_GB2312"/>
          <w:b/>
          <w:sz w:val="32"/>
          <w:szCs w:val="32"/>
        </w:rPr>
        <w:t>——人才总量继续扩大。</w:t>
      </w:r>
      <w:r>
        <w:rPr>
          <w:rFonts w:hint="eastAsia" w:hAnsi="仿宋_GB2312" w:eastAsia="仿宋_GB2312"/>
          <w:sz w:val="32"/>
          <w:szCs w:val="32"/>
        </w:rPr>
        <w:t>大力实施“科教兴州”和“人才强州”战略，积极构建人才引进、培育、使用、激励等政策体系和机制，人才发展环境不断优化，人才资源总量稳步增长，人才队伍素质显著提高，</w:t>
      </w:r>
      <w:r>
        <w:rPr>
          <w:rFonts w:hint="eastAsia" w:eastAsia="仿宋_GB2312"/>
          <w:sz w:val="32"/>
          <w:szCs w:val="32"/>
        </w:rPr>
        <w:t>经济社会发展与产业优化升级的人才支撑持续加强。“十三五”末，全州人才资源总量达到</w:t>
      </w:r>
      <w:r>
        <w:rPr>
          <w:rFonts w:hint="eastAsia" w:hAnsi="仿宋_GB2312" w:eastAsia="仿宋_GB2312"/>
          <w:sz w:val="32"/>
          <w:szCs w:val="32"/>
        </w:rPr>
        <w:t>6</w:t>
      </w:r>
      <w:r>
        <w:rPr>
          <w:rFonts w:hint="eastAsia" w:hAnsi="仿宋_GB2312" w:eastAsia="仿宋_GB2312"/>
          <w:sz w:val="32"/>
          <w:szCs w:val="32"/>
          <w:lang w:val="en-US" w:eastAsia="zh-CN"/>
        </w:rPr>
        <w:t>2.88</w:t>
      </w:r>
      <w:r>
        <w:rPr>
          <w:rFonts w:hint="eastAsia" w:eastAsia="仿宋_GB2312"/>
          <w:sz w:val="32"/>
          <w:szCs w:val="32"/>
        </w:rPr>
        <w:t>万人，其中，专业技术人才</w:t>
      </w:r>
      <w:r>
        <w:rPr>
          <w:rFonts w:eastAsia="仿宋_GB2312"/>
          <w:sz w:val="32"/>
          <w:szCs w:val="32"/>
        </w:rPr>
        <w:t>18.02</w:t>
      </w:r>
      <w:r>
        <w:rPr>
          <w:rFonts w:hint="eastAsia" w:eastAsia="仿宋_GB2312"/>
          <w:sz w:val="32"/>
          <w:szCs w:val="32"/>
        </w:rPr>
        <w:t>万人，技能人才</w:t>
      </w:r>
      <w:r>
        <w:rPr>
          <w:rFonts w:hint="eastAsia" w:eastAsia="仿宋_GB2312"/>
          <w:sz w:val="32"/>
          <w:szCs w:val="32"/>
          <w:lang w:val="en-US" w:eastAsia="zh-CN"/>
        </w:rPr>
        <w:t>24.83</w:t>
      </w:r>
      <w:r>
        <w:rPr>
          <w:rFonts w:hint="eastAsia" w:eastAsia="仿宋_GB2312"/>
          <w:sz w:val="32"/>
          <w:szCs w:val="32"/>
        </w:rPr>
        <w:t>万人，企业经营管理人才</w:t>
      </w:r>
      <w:r>
        <w:rPr>
          <w:rFonts w:eastAsia="仿宋_GB2312"/>
          <w:sz w:val="32"/>
          <w:szCs w:val="32"/>
        </w:rPr>
        <w:t>9.01</w:t>
      </w:r>
      <w:r>
        <w:rPr>
          <w:rFonts w:hint="eastAsia" w:eastAsia="仿宋_GB2312"/>
          <w:sz w:val="32"/>
          <w:szCs w:val="32"/>
        </w:rPr>
        <w:t>万人，农村实用人才</w:t>
      </w:r>
      <w:r>
        <w:rPr>
          <w:rFonts w:eastAsia="仿宋_GB2312"/>
          <w:sz w:val="32"/>
          <w:szCs w:val="32"/>
        </w:rPr>
        <w:t>9.03</w:t>
      </w:r>
      <w:r>
        <w:rPr>
          <w:rFonts w:hint="eastAsia" w:eastAsia="仿宋_GB2312"/>
          <w:sz w:val="32"/>
          <w:szCs w:val="32"/>
        </w:rPr>
        <w:t>万人，其他人才（含党政人才）约</w:t>
      </w:r>
      <w:r>
        <w:rPr>
          <w:rFonts w:eastAsia="仿宋_GB2312"/>
          <w:sz w:val="32"/>
          <w:szCs w:val="32"/>
        </w:rPr>
        <w:t>1.99</w:t>
      </w:r>
      <w:r>
        <w:rPr>
          <w:rFonts w:hint="eastAsia" w:eastAsia="仿宋_GB2312"/>
          <w:sz w:val="32"/>
          <w:szCs w:val="32"/>
        </w:rPr>
        <w:t>万人。</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——人事改革稳步推进。</w:t>
      </w:r>
      <w:r>
        <w:rPr>
          <w:rFonts w:hint="eastAsia" w:hAnsi="仿宋_GB2312" w:eastAsia="仿宋_GB2312"/>
          <w:sz w:val="32"/>
          <w:szCs w:val="32"/>
        </w:rPr>
        <w:t>事业单位人事制度改革稳步推进，用人机制逐步展现活力。健全和规范事业单位用人、招聘制度，优化岗位结构比例；提高人事考试信息化水平；深化事业单位收入分配制度改革；中小学教师系列职称制度改革顺利完成。</w:t>
      </w:r>
      <w:r>
        <w:rPr>
          <w:rFonts w:eastAsia="仿宋_GB2312"/>
          <w:sz w:val="32"/>
          <w:szCs w:val="32"/>
        </w:rPr>
        <w:t>3.58</w:t>
      </w:r>
      <w:r>
        <w:rPr>
          <w:rFonts w:hint="eastAsia" w:hAnsi="仿宋_GB2312" w:eastAsia="仿宋_GB2312"/>
          <w:sz w:val="32"/>
          <w:szCs w:val="32"/>
        </w:rPr>
        <w:t>万</w:t>
      </w:r>
      <w:r>
        <w:rPr>
          <w:rFonts w:hint="eastAsia" w:ascii="仿宋_GB2312" w:hAnsi="仿宋_GB2312" w:eastAsia="仿宋_GB2312" w:cs="仿宋_GB2312"/>
          <w:sz w:val="32"/>
          <w:szCs w:val="32"/>
        </w:rPr>
        <w:t>名教师过渡到新职称体系，全</w:t>
      </w:r>
      <w:r>
        <w:rPr>
          <w:rFonts w:hint="eastAsia" w:hAnsi="仿宋_GB2312" w:eastAsia="仿宋_GB2312"/>
          <w:sz w:val="32"/>
          <w:szCs w:val="32"/>
        </w:rPr>
        <w:t>州中小学一级教师职称评审工作全部下放授权县（市）组织评审。</w:t>
      </w:r>
    </w:p>
    <w:p>
      <w:pPr>
        <w:widowControl w:val="0"/>
        <w:snapToGrid w:val="0"/>
        <w:spacing w:line="360" w:lineRule="auto"/>
        <w:ind w:firstLine="642" w:firstLineChars="200"/>
        <w:textAlignment w:val="baseline"/>
        <w:rPr>
          <w:rFonts w:eastAsia="仿宋_GB2312"/>
          <w:sz w:val="32"/>
          <w:szCs w:val="32"/>
        </w:rPr>
      </w:pPr>
      <w:r>
        <w:rPr>
          <w:rFonts w:hint="eastAsia" w:ascii="仿宋_GB2312" w:hAnsi="仿宋_GB2312" w:eastAsia="仿宋_GB2312" w:cs="仿宋_GB2312"/>
          <w:b/>
          <w:sz w:val="32"/>
          <w:szCs w:val="32"/>
        </w:rPr>
        <w:t>——人才扶贫取得成效。</w:t>
      </w:r>
      <w:r>
        <w:rPr>
          <w:rFonts w:hint="eastAsia" w:eastAsia="仿宋_GB2312"/>
          <w:sz w:val="32"/>
          <w:szCs w:val="32"/>
        </w:rPr>
        <w:t>加强农业科技人才队伍建设，通过定向招考等方式大力招才引智</w:t>
      </w:r>
      <w:r>
        <w:rPr>
          <w:rFonts w:eastAsia="仿宋_GB2312"/>
          <w:sz w:val="32"/>
          <w:szCs w:val="32"/>
        </w:rPr>
        <w:t>9733</w:t>
      </w:r>
      <w:r>
        <w:rPr>
          <w:rFonts w:hint="eastAsia" w:eastAsia="仿宋_GB2312"/>
          <w:sz w:val="32"/>
          <w:szCs w:val="32"/>
        </w:rPr>
        <w:t>名，实施万名专家下基层活动，为基层一线农技推广服务等工作提供有力保障。放宽基层职称评聘条件，切实解决脱贫攻坚一线专业技术人员实际困难。</w:t>
      </w:r>
    </w:p>
    <w:p>
      <w:pPr>
        <w:widowControl w:val="0"/>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（四）劳动关系和谐稳定</w:t>
      </w:r>
    </w:p>
    <w:p>
      <w:pPr>
        <w:snapToGrid w:val="0"/>
        <w:spacing w:line="360" w:lineRule="auto"/>
        <w:ind w:firstLine="64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——劳动用工监管力度持续加大。</w:t>
      </w:r>
      <w:r>
        <w:rPr>
          <w:rFonts w:hint="eastAsia" w:eastAsia="仿宋_GB2312"/>
          <w:sz w:val="32"/>
          <w:szCs w:val="32"/>
        </w:rPr>
        <w:t>劳动关系协调机制、劳动保障监察执法机制不断完善。开展关爱广东、浙江等异地务工人员稳岗就业、政策宣传、劳动维权系列活动，推动群体融合、共同发展。州内规模</w:t>
      </w:r>
      <w:r>
        <w:rPr>
          <w:rFonts w:hint="eastAsia" w:ascii="仿宋_GB2312" w:hAnsi="仿宋_GB2312" w:eastAsia="仿宋_GB2312" w:cs="仿宋_GB2312"/>
          <w:sz w:val="32"/>
          <w:szCs w:val="32"/>
        </w:rPr>
        <w:t>以上企业劳动合同签订率达</w:t>
      </w:r>
      <w:r>
        <w:rPr>
          <w:rFonts w:eastAsia="仿宋_GB2312"/>
          <w:sz w:val="32"/>
          <w:szCs w:val="32"/>
        </w:rPr>
        <w:t>95%</w:t>
      </w:r>
      <w:r>
        <w:rPr>
          <w:rFonts w:hint="eastAsia" w:eastAsia="仿宋_GB2312"/>
          <w:sz w:val="32"/>
          <w:szCs w:val="32"/>
        </w:rPr>
        <w:t>以</w:t>
      </w:r>
      <w:r>
        <w:rPr>
          <w:rFonts w:hint="eastAsia" w:ascii="仿宋_GB2312" w:hAnsi="仿宋_GB2312" w:eastAsia="仿宋_GB2312" w:cs="仿宋_GB2312"/>
          <w:sz w:val="32"/>
          <w:szCs w:val="32"/>
        </w:rPr>
        <w:t>上，在建工程项目基本实现“</w:t>
      </w:r>
      <w:r>
        <w:rPr>
          <w:rFonts w:eastAsia="仿宋_GB2312"/>
          <w:sz w:val="32"/>
          <w:szCs w:val="32"/>
        </w:rPr>
        <w:t>8</w:t>
      </w:r>
      <w:r>
        <w:rPr>
          <w:rFonts w:hint="eastAsia" w:eastAsia="仿宋_GB2312"/>
          <w:sz w:val="32"/>
          <w:szCs w:val="32"/>
        </w:rPr>
        <w:t>个</w:t>
      </w:r>
      <w:r>
        <w:rPr>
          <w:rFonts w:eastAsia="仿宋_GB2312"/>
          <w:sz w:val="32"/>
          <w:szCs w:val="32"/>
        </w:rPr>
        <w:t>100%</w:t>
      </w:r>
      <w:r>
        <w:rPr>
          <w:rFonts w:hint="eastAsia" w:ascii="仿宋_GB2312" w:hAnsi="仿宋_GB2312" w:eastAsia="仿宋_GB2312" w:cs="仿宋_GB2312"/>
          <w:sz w:val="32"/>
          <w:szCs w:val="32"/>
        </w:rPr>
        <w:t>”全覆盖，源头根治欠薪</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取得新进展，督促异地务工人员签订劳动合同。</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——劳动保障监察执法能力提高。</w:t>
      </w:r>
      <w:r>
        <w:rPr>
          <w:rFonts w:hint="eastAsia" w:ascii="仿宋_GB2312" w:hAnsi="仿宋_GB2312" w:eastAsia="仿宋_GB2312" w:cs="仿宋_GB2312"/>
          <w:sz w:val="32"/>
          <w:szCs w:val="32"/>
        </w:rPr>
        <w:t>全州</w:t>
      </w:r>
      <w:r>
        <w:rPr>
          <w:rFonts w:hint="eastAsia" w:eastAsia="仿宋_GB2312"/>
          <w:sz w:val="32"/>
          <w:szCs w:val="32"/>
        </w:rPr>
        <w:t>查处劳动违法案件</w:t>
      </w:r>
      <w:r>
        <w:rPr>
          <w:rFonts w:eastAsia="仿宋_GB2312"/>
          <w:sz w:val="32"/>
          <w:szCs w:val="32"/>
        </w:rPr>
        <w:t>1331</w:t>
      </w:r>
      <w:r>
        <w:rPr>
          <w:rFonts w:hint="eastAsia" w:eastAsia="仿宋_GB2312"/>
          <w:sz w:val="32"/>
          <w:szCs w:val="32"/>
        </w:rPr>
        <w:t>起，时效内结案率达</w:t>
      </w:r>
      <w:r>
        <w:rPr>
          <w:rFonts w:eastAsia="仿宋_GB2312"/>
          <w:sz w:val="32"/>
          <w:szCs w:val="32"/>
        </w:rPr>
        <w:t>100%</w:t>
      </w:r>
      <w:r>
        <w:rPr>
          <w:rFonts w:hint="eastAsia" w:eastAsia="仿宋_GB2312"/>
          <w:sz w:val="32"/>
          <w:szCs w:val="32"/>
        </w:rPr>
        <w:t>，帮助</w:t>
      </w:r>
      <w:r>
        <w:rPr>
          <w:rFonts w:eastAsia="仿宋_GB2312"/>
          <w:sz w:val="32"/>
          <w:szCs w:val="32"/>
        </w:rPr>
        <w:t>4.68</w:t>
      </w:r>
      <w:r>
        <w:rPr>
          <w:rFonts w:hint="eastAsia" w:eastAsia="仿宋_GB2312"/>
          <w:sz w:val="32"/>
          <w:szCs w:val="32"/>
        </w:rPr>
        <w:t>万名劳动者追发工资</w:t>
      </w:r>
      <w:r>
        <w:rPr>
          <w:rFonts w:eastAsia="仿宋_GB2312"/>
          <w:sz w:val="32"/>
          <w:szCs w:val="32"/>
        </w:rPr>
        <w:t>71037.60</w:t>
      </w:r>
      <w:r>
        <w:rPr>
          <w:rFonts w:hint="eastAsia" w:eastAsia="仿宋_GB2312"/>
          <w:sz w:val="32"/>
          <w:szCs w:val="32"/>
        </w:rPr>
        <w:t>万元，帮助</w:t>
      </w:r>
      <w:r>
        <w:rPr>
          <w:rFonts w:eastAsia="仿宋_GB2312"/>
          <w:sz w:val="32"/>
          <w:szCs w:val="32"/>
        </w:rPr>
        <w:t>33</w:t>
      </w:r>
      <w:r>
        <w:rPr>
          <w:rFonts w:hint="eastAsia" w:eastAsia="仿宋_GB2312"/>
          <w:sz w:val="32"/>
          <w:szCs w:val="32"/>
        </w:rPr>
        <w:t>名劳动者追缴社保费用</w:t>
      </w:r>
      <w:r>
        <w:rPr>
          <w:rFonts w:eastAsia="仿宋_GB2312"/>
          <w:sz w:val="32"/>
          <w:szCs w:val="32"/>
        </w:rPr>
        <w:t>61.96</w:t>
      </w:r>
      <w:r>
        <w:rPr>
          <w:rFonts w:hint="eastAsia" w:eastAsia="仿宋_GB2312"/>
          <w:sz w:val="32"/>
          <w:szCs w:val="32"/>
        </w:rPr>
        <w:t>万元，切实维护了劳动者合法权</w:t>
      </w:r>
      <w:r>
        <w:rPr>
          <w:rFonts w:hint="eastAsia" w:ascii="仿宋_GB2312" w:hAnsi="仿宋_GB2312" w:eastAsia="仿宋_GB2312" w:cs="仿宋_GB2312"/>
          <w:sz w:val="32"/>
          <w:szCs w:val="32"/>
        </w:rPr>
        <w:t>益。</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——调解仲裁工作向基层延伸。</w:t>
      </w:r>
      <w:r>
        <w:rPr>
          <w:rFonts w:hint="eastAsia" w:ascii="仿宋_GB2312" w:hAnsi="仿宋_GB2312" w:eastAsia="仿宋_GB2312" w:cs="仿宋_GB2312"/>
          <w:sz w:val="32"/>
          <w:szCs w:val="32"/>
        </w:rPr>
        <w:t>加快推进“基层法律明白人、一村一法律顾问”工作，促进维护劳动者权益、劳动争议处理不断</w:t>
      </w:r>
      <w:r>
        <w:rPr>
          <w:rFonts w:hint="eastAsia" w:ascii="仿宋_GB2312" w:hAnsi="仿宋_GB2312" w:eastAsia="仿宋_GB2312" w:cs="仿宋_GB2312"/>
          <w:bCs/>
          <w:sz w:val="32"/>
          <w:szCs w:val="32"/>
        </w:rPr>
        <w:t>向基层延伸，</w:t>
      </w:r>
      <w:r>
        <w:rPr>
          <w:rFonts w:hint="eastAsia" w:ascii="仿宋_GB2312" w:hAnsi="仿宋_GB2312" w:eastAsia="仿宋_GB2312" w:cs="仿宋_GB2312"/>
          <w:sz w:val="32"/>
          <w:szCs w:val="32"/>
        </w:rPr>
        <w:t>把矛盾化解在萌芽状态，把争议解决在基层一线。全州立案处理劳动人事争议案件</w:t>
      </w:r>
      <w:r>
        <w:rPr>
          <w:rFonts w:eastAsia="仿宋_GB2312"/>
          <w:sz w:val="32"/>
          <w:szCs w:val="32"/>
        </w:rPr>
        <w:t>6294</w:t>
      </w:r>
      <w:r>
        <w:rPr>
          <w:rFonts w:hint="eastAsia" w:eastAsia="仿宋_GB2312"/>
          <w:sz w:val="32"/>
          <w:szCs w:val="32"/>
        </w:rPr>
        <w:t>件，维权</w:t>
      </w:r>
      <w:r>
        <w:rPr>
          <w:rFonts w:hint="eastAsia" w:ascii="仿宋_GB2312" w:hAnsi="仿宋_GB2312" w:eastAsia="仿宋_GB2312" w:cs="仿宋_GB2312"/>
          <w:sz w:val="32"/>
          <w:szCs w:val="32"/>
        </w:rPr>
        <w:t>金额达</w:t>
      </w:r>
      <w:r>
        <w:rPr>
          <w:rFonts w:eastAsia="仿宋_GB2312"/>
          <w:sz w:val="32"/>
          <w:szCs w:val="32"/>
        </w:rPr>
        <w:t>1.96</w:t>
      </w:r>
      <w:r>
        <w:rPr>
          <w:rFonts w:hint="eastAsia" w:eastAsia="仿宋_GB2312"/>
          <w:sz w:val="32"/>
          <w:szCs w:val="32"/>
        </w:rPr>
        <w:t>亿元，时效内办结率</w:t>
      </w:r>
      <w:r>
        <w:rPr>
          <w:rFonts w:eastAsia="仿宋_GB2312"/>
          <w:sz w:val="32"/>
          <w:szCs w:val="32"/>
        </w:rPr>
        <w:t>100%</w:t>
      </w:r>
      <w:r>
        <w:rPr>
          <w:rFonts w:hint="eastAsia" w:eastAsia="仿宋_GB2312"/>
          <w:sz w:val="32"/>
          <w:szCs w:val="32"/>
        </w:rPr>
        <w:t>，</w:t>
      </w:r>
      <w:r>
        <w:rPr>
          <w:rFonts w:hint="eastAsia" w:ascii="仿宋_GB2312" w:hAnsi="仿宋_GB2312" w:eastAsia="仿宋_GB2312" w:cs="仿宋_GB2312"/>
          <w:sz w:val="32"/>
          <w:szCs w:val="32"/>
        </w:rPr>
        <w:t>调解成功率达</w:t>
      </w:r>
      <w:r>
        <w:rPr>
          <w:rFonts w:eastAsia="仿宋_GB2312"/>
          <w:sz w:val="32"/>
          <w:szCs w:val="32"/>
        </w:rPr>
        <w:t>60%</w:t>
      </w:r>
      <w:r>
        <w:rPr>
          <w:rFonts w:hint="eastAsia" w:eastAsia="仿宋_GB2312"/>
          <w:sz w:val="32"/>
          <w:szCs w:val="32"/>
        </w:rPr>
        <w:t>以上。</w:t>
      </w:r>
    </w:p>
    <w:p>
      <w:pPr>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（五）公共服务水平不断提升</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——公共服务平台逐步完善。</w:t>
      </w:r>
      <w:r>
        <w:rPr>
          <w:rFonts w:hint="eastAsia" w:ascii="仿宋_GB2312" w:hAnsi="仿宋_GB2312" w:eastAsia="仿宋_GB2312" w:cs="仿宋_GB2312"/>
          <w:sz w:val="32"/>
          <w:szCs w:val="32"/>
        </w:rPr>
        <w:t>建立“互联网+”公共服务平台。通过政务服务网上申报系统、微信公众号、门户网站等，推动政务服务高频事项办理实现“一网一门一窗一次”。</w:t>
      </w:r>
    </w:p>
    <w:p>
      <w:pPr>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——信息化建设步伐加快。</w:t>
      </w:r>
      <w:r>
        <w:rPr>
          <w:rFonts w:hint="eastAsia" w:ascii="仿宋_GB2312" w:hAnsi="仿宋_GB2312" w:eastAsia="仿宋_GB2312" w:cs="仿宋_GB2312"/>
          <w:sz w:val="32"/>
          <w:szCs w:val="32"/>
        </w:rPr>
        <w:t>以全民参保信息库为依托，实现社保、就业等基础数据互联共享。推进电子社保卡签发，开发事业单位人事管理系统。</w:t>
      </w:r>
    </w:p>
    <w:p>
      <w:pPr>
        <w:widowControl w:val="0"/>
        <w:snapToGrid w:val="0"/>
        <w:spacing w:line="360" w:lineRule="auto"/>
        <w:ind w:firstLine="642"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——干部队伍综合能力提升。</w:t>
      </w:r>
      <w:r>
        <w:rPr>
          <w:rFonts w:hint="eastAsia" w:ascii="仿宋_GB2312" w:hAnsi="仿宋_GB2312" w:eastAsia="仿宋_GB2312" w:cs="仿宋_GB2312"/>
          <w:sz w:val="32"/>
          <w:szCs w:val="32"/>
        </w:rPr>
        <w:t>通过岗位练兵、轮岗交流、全员培训、竞争上岗等方式提升干部综合能力，选派干部到脱贫攻坚一线等急难险重岗位培养锻炼，激发干部创先争优活力。</w:t>
      </w:r>
      <w:bookmarkStart w:id="74" w:name="_Toc16088"/>
      <w:bookmarkStart w:id="75" w:name="_Toc29576"/>
      <w:bookmarkStart w:id="76" w:name="_Toc29924"/>
      <w:bookmarkStart w:id="77" w:name="_Toc75860060"/>
      <w:bookmarkStart w:id="78" w:name="_Toc14435"/>
      <w:bookmarkStart w:id="79" w:name="_Toc18424"/>
      <w:bookmarkStart w:id="80" w:name="_Toc4539"/>
      <w:r>
        <w:rPr>
          <w:rFonts w:hint="eastAsia" w:ascii="黑体" w:hAnsi="黑体" w:eastAsia="黑体" w:cs="仿宋_GB2312"/>
          <w:kern w:val="0"/>
          <w:sz w:val="28"/>
          <w:szCs w:val="28"/>
        </w:rPr>
        <w:br w:type="page"/>
      </w:r>
    </w:p>
    <w:p>
      <w:pPr>
        <w:pStyle w:val="23"/>
        <w:widowControl w:val="0"/>
        <w:snapToGrid w:val="0"/>
        <w:spacing w:before="0" w:after="0" w:line="360" w:lineRule="auto"/>
        <w:textAlignment w:val="baseline"/>
        <w:rPr>
          <w:rFonts w:ascii="黑体" w:hAnsi="黑体" w:eastAsia="黑体" w:cs="仿宋_GB2312"/>
          <w:b w:val="0"/>
          <w:bCs w:val="0"/>
          <w:kern w:val="0"/>
          <w:sz w:val="28"/>
          <w:szCs w:val="28"/>
        </w:rPr>
      </w:pPr>
      <w:bookmarkStart w:id="81" w:name="_Toc5144"/>
      <w:bookmarkStart w:id="82" w:name="_Toc13472"/>
      <w:bookmarkStart w:id="83" w:name="_Toc29698"/>
      <w:bookmarkStart w:id="84" w:name="_Toc32546"/>
      <w:bookmarkStart w:id="85" w:name="_Toc5515"/>
      <w:bookmarkStart w:id="86" w:name="_Toc29439"/>
      <w:bookmarkStart w:id="87" w:name="_Toc90584026"/>
      <w:bookmarkStart w:id="88" w:name="_Toc9016"/>
      <w:r>
        <w:rPr>
          <w:rFonts w:hint="eastAsia" w:ascii="黑体" w:hAnsi="黑体" w:eastAsia="黑体" w:cs="仿宋_GB2312"/>
          <w:b w:val="0"/>
          <w:kern w:val="0"/>
          <w:sz w:val="28"/>
          <w:szCs w:val="28"/>
        </w:rPr>
        <w:t>专栏</w:t>
      </w:r>
      <w:r>
        <w:rPr>
          <w:rFonts w:ascii="Times New Roman" w:hAnsi="Times New Roman" w:eastAsia="黑体" w:cs="Times New Roman"/>
          <w:b w:val="0"/>
          <w:kern w:val="0"/>
          <w:sz w:val="28"/>
          <w:szCs w:val="28"/>
        </w:rPr>
        <w:t>1</w:t>
      </w:r>
      <w:r>
        <w:rPr>
          <w:rFonts w:hint="eastAsia" w:ascii="黑体" w:hAnsi="黑体" w:eastAsia="黑体" w:cs="仿宋_GB2312"/>
          <w:b w:val="0"/>
          <w:kern w:val="0"/>
          <w:sz w:val="28"/>
          <w:szCs w:val="28"/>
        </w:rPr>
        <w:t xml:space="preserve"> “十三五”时期主要指标完成情况</w:t>
      </w:r>
      <w:bookmarkEnd w:id="74"/>
      <w:bookmarkEnd w:id="75"/>
      <w:bookmarkEnd w:id="76"/>
      <w:bookmarkEnd w:id="77"/>
      <w:bookmarkEnd w:id="81"/>
      <w:bookmarkEnd w:id="82"/>
      <w:bookmarkEnd w:id="83"/>
      <w:bookmarkEnd w:id="84"/>
      <w:bookmarkEnd w:id="85"/>
      <w:bookmarkEnd w:id="86"/>
      <w:bookmarkEnd w:id="87"/>
      <w:bookmarkEnd w:id="88"/>
    </w:p>
    <w:tbl>
      <w:tblPr>
        <w:tblStyle w:val="25"/>
        <w:tblW w:w="892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3538"/>
        <w:gridCol w:w="1547"/>
        <w:gridCol w:w="1406"/>
        <w:gridCol w:w="1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hAnsi="黑体" w:eastAsia="仿宋_GB2312"/>
                <w:sz w:val="24"/>
                <w:szCs w:val="24"/>
              </w:rPr>
            </w:pPr>
            <w:r>
              <w:rPr>
                <w:rFonts w:hint="eastAsia" w:ascii="仿宋_GB2312" w:hAnsi="黑体" w:eastAsia="仿宋_GB2312"/>
                <w:sz w:val="24"/>
                <w:szCs w:val="24"/>
              </w:rPr>
              <w:t>指标</w:t>
            </w:r>
          </w:p>
        </w:tc>
        <w:tc>
          <w:tcPr>
            <w:tcW w:w="1547" w:type="dxa"/>
            <w:tcBorders>
              <w:top w:val="single" w:color="000000" w:sz="4" w:space="0"/>
              <w:left w:val="nil"/>
              <w:bottom w:val="single" w:color="000000" w:sz="4" w:space="0"/>
              <w:right w:val="single" w:color="000000" w:sz="4" w:space="0"/>
            </w:tcBorders>
            <w:vAlign w:val="center"/>
          </w:tcPr>
          <w:p>
            <w:pPr>
              <w:snapToGrid w:val="0"/>
              <w:textAlignment w:val="baseline"/>
              <w:rPr>
                <w:rFonts w:ascii="仿宋_GB2312" w:hAnsi="黑体" w:eastAsia="仿宋_GB2312"/>
                <w:sz w:val="24"/>
                <w:szCs w:val="24"/>
              </w:rPr>
            </w:pPr>
            <w:r>
              <w:rPr>
                <w:rFonts w:eastAsia="仿宋_GB2312"/>
                <w:sz w:val="24"/>
                <w:szCs w:val="24"/>
              </w:rPr>
              <w:t>2015</w:t>
            </w:r>
            <w:r>
              <w:rPr>
                <w:rFonts w:hint="eastAsia" w:ascii="仿宋_GB2312" w:hAnsi="黑体" w:eastAsia="仿宋_GB2312"/>
                <w:sz w:val="24"/>
                <w:szCs w:val="24"/>
              </w:rPr>
              <w:t>年基数</w:t>
            </w:r>
          </w:p>
        </w:tc>
        <w:tc>
          <w:tcPr>
            <w:tcW w:w="1406" w:type="dxa"/>
            <w:tcBorders>
              <w:top w:val="single" w:color="000000" w:sz="4" w:space="0"/>
              <w:left w:val="nil"/>
              <w:bottom w:val="single" w:color="000000" w:sz="4" w:space="0"/>
              <w:right w:val="single" w:color="000000" w:sz="4" w:space="0"/>
            </w:tcBorders>
            <w:vAlign w:val="center"/>
          </w:tcPr>
          <w:p>
            <w:pPr>
              <w:snapToGrid w:val="0"/>
              <w:textAlignment w:val="baseline"/>
              <w:rPr>
                <w:rFonts w:ascii="仿宋_GB2312" w:hAnsi="黑体" w:eastAsia="仿宋_GB2312"/>
                <w:sz w:val="24"/>
                <w:szCs w:val="24"/>
              </w:rPr>
            </w:pPr>
            <w:r>
              <w:rPr>
                <w:rFonts w:hint="eastAsia" w:ascii="仿宋_GB2312" w:hAnsi="黑体" w:eastAsia="仿宋_GB2312"/>
                <w:sz w:val="24"/>
                <w:szCs w:val="24"/>
              </w:rPr>
              <w:t>“十三五”</w:t>
            </w:r>
          </w:p>
          <w:p>
            <w:pPr>
              <w:snapToGrid w:val="0"/>
              <w:textAlignment w:val="baseline"/>
              <w:rPr>
                <w:rFonts w:ascii="仿宋_GB2312" w:hAnsi="黑体" w:eastAsia="仿宋_GB2312"/>
                <w:sz w:val="24"/>
                <w:szCs w:val="24"/>
              </w:rPr>
            </w:pPr>
            <w:r>
              <w:rPr>
                <w:rFonts w:hint="eastAsia" w:ascii="仿宋_GB2312" w:hAnsi="黑体" w:eastAsia="仿宋_GB2312"/>
                <w:sz w:val="24"/>
                <w:szCs w:val="24"/>
              </w:rPr>
              <w:t>规划目标</w:t>
            </w:r>
          </w:p>
        </w:tc>
        <w:tc>
          <w:tcPr>
            <w:tcW w:w="1288" w:type="dxa"/>
            <w:tcBorders>
              <w:top w:val="single" w:color="000000" w:sz="4" w:space="0"/>
              <w:left w:val="nil"/>
              <w:bottom w:val="single" w:color="000000" w:sz="4" w:space="0"/>
              <w:right w:val="single" w:color="000000" w:sz="4" w:space="0"/>
            </w:tcBorders>
            <w:vAlign w:val="center"/>
          </w:tcPr>
          <w:p>
            <w:pPr>
              <w:snapToGrid w:val="0"/>
              <w:textAlignment w:val="baseline"/>
              <w:rPr>
                <w:rFonts w:eastAsia="仿宋_GB2312"/>
                <w:sz w:val="24"/>
                <w:szCs w:val="24"/>
              </w:rPr>
            </w:pPr>
            <w:r>
              <w:rPr>
                <w:rFonts w:hint="eastAsia" w:eastAsia="仿宋_GB2312"/>
                <w:sz w:val="24"/>
                <w:szCs w:val="24"/>
              </w:rPr>
              <w:t>2020年</w:t>
            </w:r>
          </w:p>
          <w:p>
            <w:pPr>
              <w:snapToGrid w:val="0"/>
              <w:textAlignment w:val="baseline"/>
              <w:rPr>
                <w:rFonts w:ascii="仿宋_GB2312" w:hAnsi="黑体" w:eastAsia="仿宋_GB2312"/>
                <w:sz w:val="24"/>
                <w:szCs w:val="24"/>
              </w:rPr>
            </w:pPr>
            <w:r>
              <w:rPr>
                <w:rFonts w:hint="eastAsia" w:ascii="仿宋_GB2312" w:hAnsi="黑体" w:eastAsia="仿宋_GB2312"/>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hAnsi="黑体" w:eastAsia="仿宋_GB2312"/>
                <w:sz w:val="24"/>
                <w:szCs w:val="24"/>
              </w:rPr>
            </w:pPr>
            <w:r>
              <w:rPr>
                <w:rFonts w:hint="eastAsia" w:ascii="仿宋_GB2312" w:hAnsi="黑体" w:eastAsia="仿宋_GB2312"/>
                <w:bCs/>
                <w:sz w:val="24"/>
                <w:szCs w:val="24"/>
              </w:rPr>
              <w:t>一、就业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w:t>
            </w:r>
            <w:r>
              <w:rPr>
                <w:rFonts w:hint="eastAsia" w:ascii="仿宋_GB2312" w:hAnsi="宋体" w:eastAsia="仿宋_GB2312"/>
                <w:sz w:val="24"/>
                <w:szCs w:val="24"/>
              </w:rPr>
              <w:t>城镇新增就业人数（万人）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[25.6]</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[35]</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sz w:val="24"/>
                <w:szCs w:val="24"/>
              </w:rPr>
              <w:t>城镇登记失业率（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4.2</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≤4.2</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hAnsi="黑体" w:eastAsia="仿宋_GB2312"/>
                <w:bCs/>
                <w:sz w:val="24"/>
                <w:szCs w:val="24"/>
              </w:rPr>
              <w:t>二、社会保障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3.</w:t>
            </w:r>
            <w:r>
              <w:rPr>
                <w:rFonts w:hint="eastAsia" w:ascii="仿宋_GB2312" w:hAnsi="宋体" w:eastAsia="仿宋_GB2312"/>
                <w:sz w:val="24"/>
                <w:szCs w:val="24"/>
              </w:rPr>
              <w:t>基本养老保险参保率（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75.4</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≥90</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hint="eastAsia" w:eastAsia="仿宋_GB2312"/>
                <w:sz w:val="24"/>
                <w:szCs w:val="24"/>
                <w:lang w:eastAsia="zh-CN"/>
              </w:rPr>
            </w:pPr>
            <w:r>
              <w:rPr>
                <w:rFonts w:hint="eastAsia" w:eastAsia="仿宋_GB2312"/>
                <w:color w:val="auto"/>
                <w:sz w:val="24"/>
                <w:szCs w:val="24"/>
                <w:highlight w:val="none"/>
              </w:rPr>
              <w:t>9</w:t>
            </w:r>
            <w:r>
              <w:rPr>
                <w:rFonts w:hint="eastAsia" w:eastAsia="仿宋_GB2312"/>
                <w:color w:val="auto"/>
                <w:sz w:val="24"/>
                <w:szCs w:val="24"/>
                <w:highlight w:val="none"/>
                <w:lang w:val="en-US" w:eastAsia="zh-CN"/>
              </w:rPr>
              <w:t>6</w:t>
            </w:r>
            <w:r>
              <w:rPr>
                <w:rFonts w:hint="eastAsia" w:eastAsia="仿宋_GB2312"/>
                <w:color w:val="auto"/>
                <w:sz w:val="24"/>
                <w:szCs w:val="24"/>
                <w:highlight w:val="none"/>
              </w:rPr>
              <w:t>.</w:t>
            </w:r>
            <w:r>
              <w:rPr>
                <w:rFonts w:hint="eastAsia" w:eastAsia="仿宋_GB2312"/>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sz w:val="24"/>
                <w:szCs w:val="24"/>
              </w:rPr>
              <w:t>参加基本养老保险人数（万人）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226.8</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234</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269.43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144" w:type="dxa"/>
            <w:vMerge w:val="restart"/>
            <w:tcBorders>
              <w:top w:val="single" w:color="000000" w:sz="4" w:space="0"/>
              <w:left w:val="single" w:color="000000" w:sz="4" w:space="0"/>
              <w:bottom w:val="single" w:color="000000" w:sz="4" w:space="0"/>
              <w:right w:val="single" w:color="auto"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5.</w:t>
            </w:r>
            <w:r>
              <w:rPr>
                <w:rFonts w:hint="eastAsia" w:ascii="仿宋_GB2312" w:hAnsi="宋体" w:eastAsia="仿宋_GB2312"/>
                <w:sz w:val="24"/>
                <w:szCs w:val="24"/>
              </w:rPr>
              <w:t>其中</w:t>
            </w:r>
          </w:p>
        </w:tc>
        <w:tc>
          <w:tcPr>
            <w:tcW w:w="3538" w:type="dxa"/>
            <w:tcBorders>
              <w:top w:val="single" w:color="000000" w:sz="4" w:space="0"/>
              <w:left w:val="single" w:color="auto" w:sz="4" w:space="0"/>
              <w:bottom w:val="single" w:color="000000" w:sz="4" w:space="0"/>
              <w:right w:val="single" w:color="000000" w:sz="4" w:space="0"/>
            </w:tcBorders>
            <w:vAlign w:val="center"/>
          </w:tcPr>
          <w:p>
            <w:pPr>
              <w:pStyle w:val="23"/>
              <w:snapToGrid w:val="0"/>
              <w:spacing w:before="0" w:after="0"/>
              <w:jc w:val="both"/>
              <w:textAlignment w:val="baseline"/>
              <w:rPr>
                <w:rFonts w:ascii="仿宋_GB2312" w:hAnsi="Times New Roman" w:eastAsia="仿宋_GB2312" w:cs="Times New Roman"/>
                <w:b w:val="0"/>
                <w:sz w:val="24"/>
                <w:szCs w:val="24"/>
              </w:rPr>
            </w:pPr>
            <w:bookmarkStart w:id="89" w:name="_Toc19355"/>
            <w:bookmarkStart w:id="90" w:name="_Toc30948"/>
            <w:bookmarkStart w:id="91" w:name="_Toc23827"/>
            <w:bookmarkStart w:id="92" w:name="_Toc14658"/>
            <w:bookmarkStart w:id="93" w:name="_Toc7098"/>
            <w:bookmarkStart w:id="94" w:name="_Toc31558"/>
            <w:bookmarkStart w:id="95" w:name="_Toc5877"/>
            <w:bookmarkStart w:id="96" w:name="_Toc90584027"/>
            <w:r>
              <w:rPr>
                <w:rFonts w:hint="eastAsia" w:ascii="仿宋_GB2312" w:hAnsi="宋体" w:eastAsia="仿宋_GB2312" w:cs="Times New Roman"/>
                <w:b w:val="0"/>
                <w:sz w:val="24"/>
                <w:szCs w:val="24"/>
              </w:rPr>
              <w:t>参加城镇职工基本养老保险人数（万人）</w:t>
            </w:r>
            <w:bookmarkEnd w:id="89"/>
            <w:bookmarkEnd w:id="90"/>
            <w:bookmarkEnd w:id="91"/>
            <w:bookmarkEnd w:id="92"/>
            <w:bookmarkEnd w:id="93"/>
            <w:bookmarkEnd w:id="94"/>
            <w:bookmarkEnd w:id="95"/>
            <w:bookmarkEnd w:id="96"/>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31.8</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35</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43.47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144" w:type="dxa"/>
            <w:vMerge w:val="continue"/>
            <w:tcBorders>
              <w:top w:val="single" w:color="000000" w:sz="4" w:space="0"/>
              <w:left w:val="single" w:color="000000" w:sz="4" w:space="0"/>
              <w:bottom w:val="single" w:color="000000" w:sz="4" w:space="0"/>
              <w:right w:val="single" w:color="auto" w:sz="4" w:space="0"/>
            </w:tcBorders>
            <w:vAlign w:val="center"/>
          </w:tcPr>
          <w:p>
            <w:pPr>
              <w:snapToGrid w:val="0"/>
              <w:textAlignment w:val="baseline"/>
              <w:rPr>
                <w:rFonts w:ascii="仿宋_GB2312" w:eastAsia="仿宋_GB2312"/>
                <w:sz w:val="24"/>
                <w:szCs w:val="24"/>
              </w:rPr>
            </w:pPr>
          </w:p>
        </w:tc>
        <w:tc>
          <w:tcPr>
            <w:tcW w:w="3538" w:type="dxa"/>
            <w:tcBorders>
              <w:top w:val="single" w:color="000000" w:sz="4" w:space="0"/>
              <w:left w:val="single" w:color="auto"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hAnsi="宋体" w:eastAsia="仿宋_GB2312"/>
                <w:sz w:val="24"/>
                <w:szCs w:val="24"/>
              </w:rPr>
              <w:t>参加城乡居民基本养老保险人数（万人）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195</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199</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225.96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6.</w:t>
            </w:r>
            <w:r>
              <w:rPr>
                <w:rFonts w:hint="eastAsia" w:ascii="仿宋_GB2312" w:hAnsi="宋体" w:eastAsia="仿宋_GB2312"/>
                <w:sz w:val="24"/>
                <w:szCs w:val="24"/>
              </w:rPr>
              <w:t>失业保险参保人数（万人）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15.4</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16</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7.</w:t>
            </w:r>
            <w:r>
              <w:rPr>
                <w:rFonts w:hint="eastAsia" w:ascii="仿宋_GB2312" w:hAnsi="宋体" w:eastAsia="仿宋_GB2312"/>
                <w:sz w:val="24"/>
                <w:szCs w:val="24"/>
              </w:rPr>
              <w:t>工伤保险参保人数（万人）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19.5</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21</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hAnsi="黑体" w:eastAsia="仿宋_GB2312"/>
                <w:bCs/>
                <w:sz w:val="24"/>
                <w:szCs w:val="24"/>
              </w:rPr>
              <w:t>三、人才队伍建设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color w:val="auto"/>
                <w:sz w:val="24"/>
                <w:szCs w:val="24"/>
              </w:rPr>
            </w:pPr>
            <w:r>
              <w:rPr>
                <w:rFonts w:hint="eastAsia" w:ascii="仿宋_GB2312" w:eastAsia="仿宋_GB2312"/>
                <w:color w:val="auto"/>
                <w:sz w:val="24"/>
                <w:szCs w:val="24"/>
              </w:rPr>
              <w:t>8.</w:t>
            </w:r>
            <w:r>
              <w:rPr>
                <w:rFonts w:hint="eastAsia" w:ascii="仿宋_GB2312" w:hAnsi="宋体" w:eastAsia="仿宋_GB2312"/>
                <w:color w:val="auto"/>
                <w:sz w:val="24"/>
                <w:szCs w:val="24"/>
              </w:rPr>
              <w:t>技能人才总量（万人）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10.5</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11.8</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24.83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color w:val="auto"/>
                <w:sz w:val="24"/>
                <w:szCs w:val="24"/>
              </w:rPr>
            </w:pPr>
            <w:r>
              <w:rPr>
                <w:rFonts w:hint="eastAsia" w:ascii="仿宋_GB2312" w:eastAsia="仿宋_GB2312"/>
                <w:color w:val="auto"/>
                <w:sz w:val="24"/>
                <w:szCs w:val="24"/>
              </w:rPr>
              <w:t>9.</w:t>
            </w:r>
            <w:r>
              <w:rPr>
                <w:rFonts w:hint="eastAsia" w:ascii="仿宋_GB2312" w:hAnsi="宋体" w:eastAsia="仿宋_GB2312"/>
                <w:color w:val="auto"/>
                <w:sz w:val="24"/>
                <w:szCs w:val="24"/>
              </w:rPr>
              <w:t>高技能人才总量（万人）</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2.04</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3.83</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color w:val="auto"/>
                <w:sz w:val="24"/>
                <w:szCs w:val="24"/>
              </w:rPr>
            </w:pPr>
            <w:r>
              <w:rPr>
                <w:rFonts w:hint="eastAsia" w:eastAsia="仿宋_GB2312"/>
                <w:color w:val="auto"/>
                <w:sz w:val="24"/>
                <w:szCs w:val="24"/>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color w:val="auto"/>
                <w:sz w:val="24"/>
                <w:szCs w:val="24"/>
              </w:rPr>
            </w:pPr>
            <w:r>
              <w:rPr>
                <w:rFonts w:hint="eastAsia" w:ascii="仿宋_GB2312" w:hAnsi="黑体" w:eastAsia="仿宋_GB2312"/>
                <w:bCs/>
                <w:color w:val="auto"/>
                <w:sz w:val="24"/>
                <w:szCs w:val="24"/>
              </w:rPr>
              <w:t>四、劳动关系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10.</w:t>
            </w:r>
            <w:r>
              <w:rPr>
                <w:rFonts w:hint="eastAsia" w:ascii="仿宋_GB2312" w:hAnsi="宋体" w:eastAsia="仿宋_GB2312"/>
                <w:sz w:val="24"/>
                <w:szCs w:val="24"/>
              </w:rPr>
              <w:t>规模以上企业劳动合同签订率（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98.0</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95.0</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11.</w:t>
            </w:r>
            <w:r>
              <w:rPr>
                <w:rFonts w:hint="eastAsia" w:ascii="仿宋_GB2312" w:hAnsi="宋体" w:eastAsia="仿宋_GB2312"/>
                <w:sz w:val="24"/>
                <w:szCs w:val="24"/>
              </w:rPr>
              <w:t>劳动人事争议调解成功率（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60.0</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60.0</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7</w:t>
            </w:r>
            <w:r>
              <w:rPr>
                <w:rFonts w:hint="eastAsia" w:eastAsia="仿宋_GB2312"/>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12.</w:t>
            </w:r>
            <w:r>
              <w:rPr>
                <w:rFonts w:hint="eastAsia" w:ascii="仿宋_GB2312" w:hAnsi="宋体" w:eastAsia="仿宋_GB2312"/>
                <w:sz w:val="24"/>
                <w:szCs w:val="24"/>
              </w:rPr>
              <w:t>劳动人事争议仲裁结案率（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98.0</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95.0</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95.</w:t>
            </w:r>
            <w:r>
              <w:rPr>
                <w:rFonts w:hint="eastAsia" w:eastAsia="仿宋_GB2312"/>
                <w:sz w:val="24"/>
                <w:szCs w:val="24"/>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13.</w:t>
            </w:r>
            <w:r>
              <w:rPr>
                <w:rFonts w:hint="eastAsia" w:ascii="仿宋_GB2312" w:hAnsi="宋体" w:eastAsia="仿宋_GB2312"/>
                <w:sz w:val="24"/>
                <w:szCs w:val="24"/>
              </w:rPr>
              <w:t>劳动保障监察举报投诉案件结案率（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100.0</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100.0</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eastAsia="仿宋_GB2312"/>
                <w:sz w:val="24"/>
                <w:szCs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hAnsi="黑体" w:eastAsia="仿宋_GB2312"/>
                <w:bCs/>
                <w:sz w:val="24"/>
                <w:szCs w:val="24"/>
              </w:rPr>
              <w:t>五、公共服务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4682" w:type="dxa"/>
            <w:gridSpan w:val="2"/>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eastAsia="仿宋_GB2312"/>
                <w:sz w:val="24"/>
                <w:szCs w:val="24"/>
              </w:rPr>
              <w:t>14.</w:t>
            </w:r>
            <w:r>
              <w:rPr>
                <w:rFonts w:hint="eastAsia" w:ascii="仿宋_GB2312" w:hAnsi="宋体" w:eastAsia="仿宋_GB2312"/>
                <w:sz w:val="24"/>
                <w:szCs w:val="24"/>
              </w:rPr>
              <w:t>社会保障卡持卡人口覆盖率（</w:t>
            </w:r>
            <w:r>
              <w:rPr>
                <w:rFonts w:hint="eastAsia" w:ascii="仿宋_GB2312" w:eastAsia="仿宋_GB2312"/>
                <w:sz w:val="24"/>
                <w:szCs w:val="24"/>
              </w:rPr>
              <w:t>%</w:t>
            </w:r>
            <w:r>
              <w:rPr>
                <w:rFonts w:hint="eastAsia" w:ascii="仿宋_GB2312" w:hAnsi="宋体" w:eastAsia="仿宋_GB2312"/>
                <w:sz w:val="24"/>
                <w:szCs w:val="24"/>
              </w:rPr>
              <w:t>）</w:t>
            </w:r>
          </w:p>
        </w:tc>
        <w:tc>
          <w:tcPr>
            <w:tcW w:w="1547"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35</w:t>
            </w:r>
          </w:p>
        </w:tc>
        <w:tc>
          <w:tcPr>
            <w:tcW w:w="1406"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45</w:t>
            </w:r>
          </w:p>
        </w:tc>
        <w:tc>
          <w:tcPr>
            <w:tcW w:w="1288" w:type="dxa"/>
            <w:tcBorders>
              <w:top w:val="single" w:color="000000" w:sz="4" w:space="0"/>
              <w:left w:val="nil"/>
              <w:bottom w:val="single" w:color="000000" w:sz="4" w:space="0"/>
              <w:right w:val="single" w:color="000000" w:sz="4" w:space="0"/>
            </w:tcBorders>
            <w:vAlign w:val="center"/>
          </w:tcPr>
          <w:p>
            <w:pPr>
              <w:snapToGrid w:val="0"/>
              <w:jc w:val="center"/>
              <w:textAlignment w:val="baseline"/>
              <w:rPr>
                <w:rFonts w:eastAsia="仿宋_GB2312"/>
                <w:sz w:val="24"/>
                <w:szCs w:val="24"/>
              </w:rPr>
            </w:pPr>
            <w:r>
              <w:rPr>
                <w:rFonts w:hint="eastAsia" w:eastAsia="仿宋_GB2312"/>
                <w:sz w:val="24"/>
                <w:szCs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923" w:type="dxa"/>
            <w:gridSpan w:val="5"/>
            <w:tcBorders>
              <w:top w:val="single" w:color="000000" w:sz="4" w:space="0"/>
              <w:left w:val="single" w:color="000000" w:sz="4" w:space="0"/>
              <w:bottom w:val="single" w:color="000000" w:sz="4" w:space="0"/>
              <w:right w:val="single" w:color="000000" w:sz="4" w:space="0"/>
            </w:tcBorders>
            <w:vAlign w:val="center"/>
          </w:tcPr>
          <w:p>
            <w:pPr>
              <w:snapToGrid w:val="0"/>
              <w:textAlignment w:val="baseline"/>
              <w:rPr>
                <w:rFonts w:ascii="仿宋_GB2312" w:eastAsia="仿宋_GB2312"/>
                <w:sz w:val="24"/>
                <w:szCs w:val="24"/>
              </w:rPr>
            </w:pPr>
            <w:r>
              <w:rPr>
                <w:rFonts w:hint="eastAsia" w:ascii="仿宋_GB2312" w:hAnsi="宋体" w:eastAsia="仿宋_GB2312"/>
                <w:bCs/>
                <w:sz w:val="24"/>
                <w:szCs w:val="24"/>
              </w:rPr>
              <w:t>注：</w:t>
            </w:r>
            <w:r>
              <w:rPr>
                <w:rFonts w:hint="eastAsia" w:ascii="仿宋_GB2312" w:eastAsia="仿宋_GB2312"/>
                <w:bCs/>
                <w:sz w:val="24"/>
                <w:szCs w:val="24"/>
              </w:rPr>
              <w:t>[  ]</w:t>
            </w:r>
            <w:r>
              <w:rPr>
                <w:rFonts w:hint="eastAsia" w:ascii="仿宋_GB2312" w:hAnsi="宋体" w:eastAsia="仿宋_GB2312"/>
                <w:bCs/>
                <w:sz w:val="24"/>
                <w:szCs w:val="24"/>
              </w:rPr>
              <w:t>内为五年累计数。</w:t>
            </w:r>
          </w:p>
        </w:tc>
      </w:tr>
    </w:tbl>
    <w:p>
      <w:pPr>
        <w:snapToGrid w:val="0"/>
        <w:spacing w:line="360" w:lineRule="auto"/>
        <w:textAlignment w:val="baseline"/>
        <w:rPr>
          <w:sz w:val="20"/>
        </w:rPr>
      </w:pPr>
    </w:p>
    <w:p>
      <w:pPr>
        <w:pStyle w:val="4"/>
        <w:snapToGrid w:val="0"/>
        <w:jc w:val="center"/>
        <w:textAlignment w:val="baseline"/>
      </w:pPr>
      <w:bookmarkStart w:id="97" w:name="_Toc3322"/>
      <w:r>
        <w:rPr>
          <w:rFonts w:hint="eastAsia"/>
        </w:rPr>
        <w:t>第二节 面临</w:t>
      </w:r>
      <w:bookmarkEnd w:id="78"/>
      <w:bookmarkEnd w:id="79"/>
      <w:bookmarkEnd w:id="80"/>
      <w:r>
        <w:rPr>
          <w:rFonts w:hint="eastAsia"/>
        </w:rPr>
        <w:t>形势</w:t>
      </w:r>
      <w:bookmarkEnd w:id="97"/>
      <w:bookmarkStart w:id="98" w:name="_Toc31640"/>
      <w:bookmarkStart w:id="99" w:name="_Toc3102"/>
      <w:bookmarkStart w:id="100" w:name="_Toc3820"/>
      <w:bookmarkStart w:id="101" w:name="_Toc4652"/>
    </w:p>
    <w:p>
      <w:pPr>
        <w:snapToGrid w:val="0"/>
        <w:spacing w:line="360" w:lineRule="auto"/>
        <w:ind w:firstLine="640" w:firstLineChars="200"/>
        <w:textAlignment w:val="baseline"/>
        <w:rPr>
          <w:rFonts w:ascii="仿宋_GB2312" w:hAnsi="宋体" w:eastAsia="仿宋_GB2312" w:cs="宋体"/>
          <w:spacing w:val="4"/>
          <w:kern w:val="0"/>
          <w:sz w:val="32"/>
          <w:szCs w:val="32"/>
        </w:rPr>
      </w:pPr>
      <w:r>
        <w:rPr>
          <w:rFonts w:hint="eastAsia" w:ascii="仿宋_GB2312" w:hAnsi="仿宋" w:eastAsia="仿宋_GB2312" w:cs="仿宋"/>
          <w:sz w:val="32"/>
          <w:szCs w:val="32"/>
        </w:rPr>
        <w:t>“十四五”时期，国内发展的外部环境和内部条件将发生深刻复杂变化。从国际看，国际环境日趋复杂，</w:t>
      </w:r>
      <w:r>
        <w:rPr>
          <w:rFonts w:hint="eastAsia" w:ascii="仿宋_GB2312" w:hAnsi="宋体" w:eastAsia="仿宋_GB2312" w:cs="宋体"/>
          <w:spacing w:val="4"/>
          <w:kern w:val="0"/>
          <w:sz w:val="32"/>
          <w:szCs w:val="32"/>
        </w:rPr>
        <w:t>新冠肺炎疫情影响广泛，</w:t>
      </w:r>
      <w:r>
        <w:rPr>
          <w:rFonts w:hint="eastAsia" w:ascii="仿宋_GB2312" w:hAnsi="仿宋" w:eastAsia="仿宋_GB2312" w:cs="仿宋"/>
          <w:sz w:val="32"/>
          <w:szCs w:val="32"/>
        </w:rPr>
        <w:t>不稳定性不确定性明显增强。从国内看，我国已转向高质量发展阶段，继续发展具有多方面优势和条件，全省围绕“四新”主攻“四化”、推动黔中经济圈、发展通道经济、南向开放“桥头堡”等，为黔南开放发展提供了历史机遇，为人力资源和社会保障事业发展提供了重要机遇。</w:t>
      </w:r>
      <w:r>
        <w:rPr>
          <w:rFonts w:hint="eastAsia" w:eastAsia="仿宋_GB2312"/>
          <w:sz w:val="32"/>
          <w:szCs w:val="32"/>
        </w:rPr>
        <w:t>人民对美好生活的向往更加强烈，期盼有更稳定的工作岗位、更可持续的社会保障、更满意的收入分配、更优质高效的公共服务，对人力资源和社会保障事业发展提出了新期盼。</w:t>
      </w:r>
      <w:r>
        <w:rPr>
          <w:rFonts w:hint="eastAsia" w:ascii="仿宋_GB2312" w:hAnsi="仿宋" w:eastAsia="仿宋_GB2312" w:cs="仿宋"/>
          <w:sz w:val="32"/>
          <w:szCs w:val="32"/>
        </w:rPr>
        <w:t>未来五年，黔南州人力资源和社会保障事业发展面临的形势和挑战主要包括：</w:t>
      </w:r>
    </w:p>
    <w:bookmarkEnd w:id="98"/>
    <w:bookmarkEnd w:id="99"/>
    <w:bookmarkEnd w:id="100"/>
    <w:bookmarkEnd w:id="101"/>
    <w:p>
      <w:pPr>
        <w:snapToGrid w:val="0"/>
        <w:spacing w:line="360" w:lineRule="auto"/>
        <w:ind w:firstLine="640" w:firstLineChars="200"/>
        <w:textAlignment w:val="baseline"/>
        <w:rPr>
          <w:rFonts w:ascii="仿宋_GB2312" w:hAnsi="宋体" w:eastAsia="仿宋_GB2312" w:cs="宋体"/>
          <w:color w:val="auto"/>
          <w:spacing w:val="4"/>
          <w:kern w:val="0"/>
          <w:sz w:val="32"/>
          <w:szCs w:val="32"/>
          <w:u w:val="none"/>
        </w:rPr>
      </w:pPr>
      <w:r>
        <w:rPr>
          <w:rFonts w:hint="eastAsia" w:ascii="楷体_GB2312" w:hAnsi="楷体_GB2312" w:eastAsia="楷体_GB2312" w:cs="楷体_GB2312"/>
          <w:bCs/>
          <w:sz w:val="32"/>
          <w:szCs w:val="32"/>
        </w:rPr>
        <w:t>——就业创业方面。</w:t>
      </w:r>
      <w:r>
        <w:rPr>
          <w:rFonts w:hint="eastAsia" w:ascii="仿宋_GB2312" w:hAnsi="宋体" w:eastAsia="仿宋_GB2312" w:cs="宋体"/>
          <w:spacing w:val="4"/>
          <w:kern w:val="0"/>
          <w:sz w:val="32"/>
          <w:szCs w:val="32"/>
        </w:rPr>
        <w:t>新冠肺炎疫情影响深远，国内外经济发展不稳定因素较多，扩大和稳定就业总量压力增大，对稳就业、保居民就业和巩固脱贫攻坚成果带来一定挑战。技术工人需求缺口持续增大，招工难和就业难结构性矛盾依然突出，传统的劳动密集型产业岗位减少，州内企业吸纳就业能力有限，就业公共服务存在短板，就业服务体系不健全、运行机制不畅，基层公共就业服务能力不足，信息化程度不高。</w:t>
      </w:r>
      <w:r>
        <w:rPr>
          <w:rFonts w:hint="eastAsia" w:ascii="仿宋_GB2312" w:hAnsi="宋体" w:eastAsia="仿宋_GB2312" w:cs="宋体"/>
          <w:color w:val="auto"/>
          <w:spacing w:val="4"/>
          <w:kern w:val="0"/>
          <w:sz w:val="32"/>
          <w:szCs w:val="32"/>
          <w:u w:val="none"/>
        </w:rPr>
        <w:t>创业平台和载体基础薄弱，劳务市场发育不足，劳务就业有组织化程度低，公益性的劳务组织起步较晚，市场化运行能力不足，社会性人力资源服务机构数量较少，服务水平不高。</w:t>
      </w:r>
    </w:p>
    <w:p>
      <w:pPr>
        <w:spacing w:line="360" w:lineRule="auto"/>
        <w:ind w:firstLine="640" w:firstLineChars="200"/>
        <w:rPr>
          <w:color w:val="auto"/>
          <w:highlight w:val="none"/>
          <w:u w:val="none"/>
        </w:rPr>
      </w:pPr>
      <w:r>
        <w:rPr>
          <w:rFonts w:hint="eastAsia" w:ascii="楷体_GB2312" w:hAnsi="楷体_GB2312" w:eastAsia="楷体_GB2312" w:cs="楷体_GB2312"/>
          <w:b w:val="0"/>
          <w:bCs/>
          <w:i w:val="0"/>
          <w:caps w:val="0"/>
          <w:color w:val="auto"/>
          <w:spacing w:val="0"/>
          <w:w w:val="100"/>
          <w:sz w:val="32"/>
          <w:szCs w:val="32"/>
          <w:highlight w:val="none"/>
          <w:u w:val="none"/>
        </w:rPr>
        <w:t>——社会保障方面。</w:t>
      </w:r>
      <w:r>
        <w:rPr>
          <w:rFonts w:hint="eastAsia" w:eastAsia="仿宋_GB2312"/>
          <w:b w:val="0"/>
          <w:i w:val="0"/>
          <w:caps w:val="0"/>
          <w:color w:val="auto"/>
          <w:spacing w:val="0"/>
          <w:w w:val="100"/>
          <w:sz w:val="32"/>
          <w:szCs w:val="32"/>
          <w:highlight w:val="none"/>
          <w:u w:val="none"/>
        </w:rPr>
        <w:t>社会保险扩面征缴空间压缩，受企业成本支出和劳动者工资现金收入矛盾影响，中小微企业、个体工商户以及其他灵活就业人员参保积极性不高，“应保尽保”较难；社会保险服务与新业态、新行业就业创业发展还不相适应；人口老龄化加剧，社会保险基金收支压力增大，加上地区财力</w:t>
      </w:r>
      <w:r>
        <w:rPr>
          <w:rFonts w:hint="eastAsia" w:eastAsia="仿宋_GB2312"/>
          <w:b w:val="0"/>
          <w:i w:val="0"/>
          <w:caps w:val="0"/>
          <w:color w:val="auto"/>
          <w:spacing w:val="0"/>
          <w:w w:val="100"/>
          <w:sz w:val="32"/>
          <w:szCs w:val="32"/>
          <w:highlight w:val="none"/>
          <w:u w:val="none"/>
          <w:lang w:eastAsia="zh-CN"/>
        </w:rPr>
        <w:t>限制</w:t>
      </w:r>
      <w:r>
        <w:rPr>
          <w:rFonts w:hint="eastAsia" w:eastAsia="仿宋_GB2312"/>
          <w:b w:val="0"/>
          <w:i w:val="0"/>
          <w:caps w:val="0"/>
          <w:color w:val="auto"/>
          <w:spacing w:val="0"/>
          <w:w w:val="100"/>
          <w:sz w:val="32"/>
          <w:szCs w:val="32"/>
          <w:highlight w:val="none"/>
          <w:u w:val="none"/>
        </w:rPr>
        <w:t>，导致城乡居民养老保险保障水平与人民群众需求还有差距；基金监管受信息化制约，挤占挪用、死亡冒领、服刑人员违规领取待遇的风险依然存在；州县乡经办一体化、信息化建设等相对还比较滞后，人员配置不足，社保经办服务的质量效能还不高。</w:t>
      </w:r>
    </w:p>
    <w:p>
      <w:pPr>
        <w:snapToGrid w:val="0"/>
        <w:spacing w:line="360" w:lineRule="auto"/>
        <w:ind w:firstLine="640" w:firstLineChars="200"/>
        <w:textAlignment w:val="baseline"/>
        <w:rPr>
          <w:rFonts w:eastAsia="仿宋_GB2312"/>
          <w:color w:val="auto"/>
          <w:sz w:val="32"/>
          <w:szCs w:val="32"/>
          <w:u w:val="none"/>
        </w:rPr>
      </w:pPr>
      <w:r>
        <w:rPr>
          <w:rFonts w:hint="eastAsia" w:ascii="楷体_GB2312" w:hAnsi="楷体_GB2312" w:eastAsia="楷体_GB2312" w:cs="楷体_GB2312"/>
          <w:bCs/>
          <w:color w:val="auto"/>
          <w:sz w:val="32"/>
          <w:szCs w:val="32"/>
          <w:u w:val="none"/>
        </w:rPr>
        <w:t>——人事人才方面。</w:t>
      </w:r>
      <w:r>
        <w:rPr>
          <w:rFonts w:hint="eastAsia" w:eastAsia="仿宋_GB2312"/>
          <w:color w:val="auto"/>
          <w:sz w:val="32"/>
          <w:szCs w:val="32"/>
          <w:u w:val="none"/>
        </w:rPr>
        <w:t>区域不平衡发展之间人才与人力资源竞争不断加剧，影响和制约人才引进和发展的体制机制亟待改革创新，人才结构性矛盾仍然突出。</w:t>
      </w:r>
      <w:r>
        <w:rPr>
          <w:rFonts w:hint="eastAsia" w:ascii="仿宋_GB2312" w:hAnsi="宋体" w:eastAsia="仿宋_GB2312" w:cs="宋体"/>
          <w:color w:val="auto"/>
          <w:spacing w:val="4"/>
          <w:kern w:val="0"/>
          <w:sz w:val="32"/>
          <w:szCs w:val="32"/>
          <w:u w:val="none"/>
        </w:rPr>
        <w:t>人才结构不平衡，高层次人才总量偏少、高中低人才层次结构不合理，人才队伍建设有待提升。</w:t>
      </w:r>
      <w:r>
        <w:rPr>
          <w:rFonts w:hint="eastAsia" w:eastAsia="仿宋_GB2312"/>
          <w:color w:val="auto"/>
          <w:sz w:val="32"/>
          <w:szCs w:val="32"/>
          <w:u w:val="none"/>
        </w:rPr>
        <w:t>人才引育的精准性、有效性有待进一步提高，创新型、应用型、技能型人才培育和集聚的能力还不能很好地满足经济社会发展需求。事业单位人事制度改革有待进一步深化，</w:t>
      </w:r>
      <w:r>
        <w:rPr>
          <w:rFonts w:hint="eastAsia" w:ascii="仿宋_GB2312" w:hAnsi="宋体" w:eastAsia="仿宋_GB2312" w:cs="宋体"/>
          <w:color w:val="auto"/>
          <w:spacing w:val="4"/>
          <w:kern w:val="0"/>
          <w:sz w:val="32"/>
          <w:szCs w:val="32"/>
          <w:u w:val="none"/>
        </w:rPr>
        <w:t>人才评价机制还不健全，人才流动机制有待突破，留人环境和人才服务机制仍需优化，人才政策落实不充分，“引才难”“留才难”问题尚未根本扭转。</w:t>
      </w:r>
      <w:r>
        <w:rPr>
          <w:rFonts w:hint="eastAsia" w:eastAsia="仿宋_GB2312"/>
          <w:color w:val="auto"/>
          <w:sz w:val="32"/>
          <w:szCs w:val="32"/>
          <w:u w:val="none"/>
        </w:rPr>
        <w:t>产业结构转型升级提速，技能人才特别是高技能人才需求不断增大，职业能力提升需求迫切。</w:t>
      </w:r>
    </w:p>
    <w:p>
      <w:pPr>
        <w:spacing w:line="360" w:lineRule="auto"/>
        <w:ind w:firstLine="640" w:firstLineChars="200"/>
        <w:rPr>
          <w:rFonts w:ascii="仿宋_GB2312" w:hAnsi="宋体" w:eastAsia="仿宋_GB2312" w:cs="宋体"/>
          <w:color w:val="auto"/>
          <w:spacing w:val="4"/>
          <w:kern w:val="0"/>
          <w:sz w:val="32"/>
          <w:szCs w:val="32"/>
          <w:u w:val="none"/>
        </w:rPr>
      </w:pPr>
      <w:r>
        <w:rPr>
          <w:rFonts w:hint="eastAsia" w:ascii="楷体_GB2312" w:hAnsi="楷体_GB2312" w:eastAsia="楷体_GB2312" w:cs="楷体_GB2312"/>
          <w:bCs/>
          <w:color w:val="auto"/>
          <w:sz w:val="32"/>
          <w:szCs w:val="32"/>
          <w:u w:val="none"/>
        </w:rPr>
        <w:t>——劳动关系方面。</w:t>
      </w:r>
      <w:bookmarkStart w:id="102" w:name="_Toc16572"/>
      <w:bookmarkStart w:id="103" w:name="_Toc24213"/>
      <w:bookmarkStart w:id="104" w:name="_Toc12353"/>
      <w:r>
        <w:rPr>
          <w:rFonts w:hint="eastAsia" w:ascii="仿宋_GB2312" w:hAnsi="宋体" w:eastAsia="仿宋_GB2312" w:cs="宋体"/>
          <w:color w:val="auto"/>
          <w:spacing w:val="4"/>
          <w:kern w:val="0"/>
          <w:sz w:val="32"/>
          <w:szCs w:val="32"/>
          <w:u w:val="none"/>
        </w:rPr>
        <w:t>劳动纠纷源头治理的抓手没有找准抓实；牵头部门、行业主管部门没有形成合力，劳动法、劳动合同法等劳动法律法规宣传不充分、服务不到位、监管不够严，一些行业用人单位劳动合同订立不规范、申报备案不及时；对开展劳务派遣业务的机构监管不严指导不力，劳务派遣协议、派遣合同订立不规范；新业态和小微企业从业人员规模持续扩大，劳动用工主体定位及劳动关系确认与传统就业形态相比更加困难，劳动用工管理</w:t>
      </w:r>
      <w:r>
        <w:rPr>
          <w:rFonts w:hint="eastAsia" w:ascii="仿宋_GB2312" w:hAnsi="宋体" w:eastAsia="仿宋_GB2312" w:cs="宋体"/>
          <w:color w:val="auto"/>
          <w:spacing w:val="4"/>
          <w:kern w:val="0"/>
          <w:sz w:val="32"/>
          <w:szCs w:val="32"/>
          <w:u w:val="none"/>
          <w:lang w:eastAsia="zh-CN"/>
        </w:rPr>
        <w:t>机制</w:t>
      </w:r>
      <w:r>
        <w:rPr>
          <w:rFonts w:hint="eastAsia" w:ascii="仿宋_GB2312" w:hAnsi="宋体" w:eastAsia="仿宋_GB2312" w:cs="宋体"/>
          <w:color w:val="auto"/>
          <w:spacing w:val="4"/>
          <w:kern w:val="0"/>
          <w:sz w:val="32"/>
          <w:szCs w:val="32"/>
          <w:u w:val="none"/>
        </w:rPr>
        <w:t>相对滞后；劳动关系矛盾纠纷已步入凸显期和多发期；多年存在的重点行业的劳资纠纷问题依然严峻，根治欠薪工作依然繁重；涉企服务的部门协调、州县联动、政企沟通机制不健全。新时期优化劳动力市场监管营商环境的需要和劳动关系双方维权意识明显增强，对劳动力市场监管服务工作提出了更高的要求：新时期要高度重视矛盾纠纷源头治理，注重查问题找措施抓落实，积极整合部门、行业力量，协调劳动关系三方资源加大劳动政策宣传力度和范围，加强监管服务；积极发挥基层劳动人事争议调解组织作用，加强劳动争议调解，提升调解成功率，把矛盾化解在基层和萌芽状态，切实防范和化解劳动关系领域风险隐患问题。研究制定新业态从业人员监管机制，规范平台用工管理，提供有效便捷服务，共同打造和谐劳动关系环境。</w:t>
      </w: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pStyle w:val="2"/>
        <w:rPr>
          <w:rFonts w:ascii="仿宋_GB2312" w:hAnsi="宋体" w:eastAsia="仿宋_GB2312" w:cs="宋体"/>
          <w:spacing w:val="4"/>
          <w:kern w:val="0"/>
          <w:sz w:val="32"/>
          <w:szCs w:val="32"/>
        </w:rPr>
      </w:pPr>
    </w:p>
    <w:p>
      <w:pPr>
        <w:rPr>
          <w:rFonts w:ascii="仿宋_GB2312" w:hAnsi="宋体" w:eastAsia="仿宋_GB2312" w:cs="宋体"/>
          <w:spacing w:val="4"/>
          <w:kern w:val="0"/>
          <w:sz w:val="32"/>
          <w:szCs w:val="32"/>
        </w:rPr>
      </w:pPr>
    </w:p>
    <w:p>
      <w:pPr>
        <w:spacing w:line="360" w:lineRule="auto"/>
        <w:jc w:val="both"/>
        <w:rPr>
          <w:rFonts w:hint="eastAsia" w:ascii="方正小标宋简体" w:eastAsia="方正小标宋简体"/>
          <w:sz w:val="44"/>
        </w:rPr>
      </w:pPr>
    </w:p>
    <w:p>
      <w:pPr>
        <w:pStyle w:val="3"/>
        <w:snapToGrid w:val="0"/>
        <w:spacing w:before="0" w:after="0" w:line="360" w:lineRule="auto"/>
        <w:jc w:val="center"/>
        <w:textAlignment w:val="baseline"/>
        <w:rPr>
          <w:rFonts w:hint="eastAsia" w:ascii="方正小标宋简体" w:eastAsia="方正小标宋简体"/>
          <w:b w:val="0"/>
        </w:rPr>
      </w:pPr>
      <w:bookmarkStart w:id="105" w:name="_Toc6551"/>
      <w:r>
        <w:rPr>
          <w:rFonts w:hint="eastAsia" w:ascii="方正小标宋简体" w:eastAsia="方正小标宋简体"/>
          <w:b w:val="0"/>
        </w:rPr>
        <w:t>第二章 指导思想和总体要求</w:t>
      </w:r>
      <w:bookmarkEnd w:id="105"/>
    </w:p>
    <w:p>
      <w:pPr>
        <w:pStyle w:val="4"/>
        <w:snapToGrid w:val="0"/>
        <w:jc w:val="center"/>
        <w:textAlignment w:val="baseline"/>
      </w:pPr>
      <w:bookmarkStart w:id="106" w:name="_Toc10308"/>
      <w:r>
        <w:rPr>
          <w:rFonts w:hint="eastAsia"/>
        </w:rPr>
        <w:t>第一节 指导思想</w:t>
      </w:r>
      <w:bookmarkEnd w:id="102"/>
      <w:bookmarkEnd w:id="103"/>
      <w:bookmarkEnd w:id="104"/>
      <w:bookmarkEnd w:id="106"/>
    </w:p>
    <w:p>
      <w:pPr>
        <w:widowControl w:val="0"/>
        <w:snapToGrid w:val="0"/>
        <w:spacing w:line="360" w:lineRule="auto"/>
        <w:ind w:firstLine="656" w:firstLineChars="200"/>
        <w:textAlignment w:val="baseline"/>
        <w:rPr>
          <w:rFonts w:ascii="仿宋_GB2312" w:hAnsi="宋体" w:eastAsia="仿宋_GB2312" w:cs="宋体"/>
          <w:spacing w:val="4"/>
          <w:kern w:val="0"/>
          <w:sz w:val="32"/>
          <w:szCs w:val="32"/>
        </w:rPr>
      </w:pPr>
      <w:r>
        <w:rPr>
          <w:rFonts w:hint="eastAsia" w:ascii="仿宋_GB2312" w:hAnsi="宋体" w:eastAsia="仿宋_GB2312" w:cs="宋体"/>
          <w:spacing w:val="4"/>
          <w:kern w:val="0"/>
          <w:sz w:val="32"/>
          <w:szCs w:val="32"/>
        </w:rPr>
        <w:t>坚持以习近平新时代中国特色社会主义思想为指导，全面贯彻党的十九大和十九届历次全会精神，深入贯彻落实习近平总书记视察贵州重要讲话精神及“四新”“四化”总体要求，按照“五位一体”总体布局和“四个全面”战略布局，坚定不移贯彻新发展理念，坚持党的全面领导，坚持稳中求进工作总基调，以推动</w:t>
      </w:r>
      <w:r>
        <w:rPr>
          <w:rFonts w:hint="eastAsia" w:eastAsia="仿宋_GB2312"/>
          <w:sz w:val="32"/>
          <w:szCs w:val="32"/>
        </w:rPr>
        <w:t>人力资源和社会保障事业高质量发展为主题，以满足人民日益增长的美好生活需要为根本目的，推动</w:t>
      </w:r>
      <w:r>
        <w:rPr>
          <w:rFonts w:hint="eastAsia" w:ascii="仿宋_GB2312" w:hAnsi="宋体" w:eastAsia="仿宋_GB2312" w:cs="宋体"/>
          <w:spacing w:val="4"/>
          <w:kern w:val="0"/>
          <w:sz w:val="32"/>
          <w:szCs w:val="32"/>
        </w:rPr>
        <w:t>实现更加充分更高质量的就业，</w:t>
      </w:r>
      <w:r>
        <w:rPr>
          <w:rFonts w:hint="eastAsia" w:eastAsia="仿宋_GB2312"/>
          <w:sz w:val="32"/>
          <w:szCs w:val="32"/>
        </w:rPr>
        <w:t>健全</w:t>
      </w:r>
      <w:r>
        <w:rPr>
          <w:rFonts w:hint="eastAsia" w:ascii="仿宋_GB2312" w:hAnsi="宋体" w:eastAsia="仿宋_GB2312" w:cs="宋体"/>
          <w:spacing w:val="4"/>
          <w:kern w:val="0"/>
          <w:sz w:val="32"/>
          <w:szCs w:val="32"/>
        </w:rPr>
        <w:t>完善更公平更可持续的</w:t>
      </w:r>
      <w:r>
        <w:rPr>
          <w:rFonts w:hint="eastAsia" w:eastAsia="仿宋_GB2312"/>
          <w:sz w:val="32"/>
          <w:szCs w:val="32"/>
        </w:rPr>
        <w:t>多层次</w:t>
      </w:r>
      <w:r>
        <w:rPr>
          <w:rFonts w:hint="eastAsia" w:ascii="仿宋_GB2312" w:hAnsi="宋体" w:eastAsia="仿宋_GB2312" w:cs="宋体"/>
          <w:spacing w:val="4"/>
          <w:kern w:val="0"/>
          <w:sz w:val="32"/>
          <w:szCs w:val="32"/>
        </w:rPr>
        <w:t>社会保障服务体系，</w:t>
      </w:r>
      <w:r>
        <w:rPr>
          <w:rFonts w:hint="eastAsia" w:eastAsia="仿宋_GB2312"/>
          <w:sz w:val="32"/>
          <w:szCs w:val="32"/>
        </w:rPr>
        <w:t>造就规模更大素质更优匹配性更好的人才队伍</w:t>
      </w:r>
      <w:r>
        <w:rPr>
          <w:rFonts w:hint="eastAsia" w:ascii="仿宋_GB2312" w:hAnsi="宋体" w:eastAsia="仿宋_GB2312" w:cs="宋体"/>
          <w:spacing w:val="4"/>
          <w:kern w:val="0"/>
          <w:sz w:val="32"/>
          <w:szCs w:val="32"/>
        </w:rPr>
        <w:t>，构建更和谐稳定的劳动关系，提供更均等更优质的人力</w:t>
      </w:r>
      <w:r>
        <w:rPr>
          <w:rFonts w:hint="eastAsia" w:eastAsia="仿宋_GB2312"/>
          <w:sz w:val="32"/>
          <w:szCs w:val="32"/>
        </w:rPr>
        <w:t>资源社会保障</w:t>
      </w:r>
      <w:r>
        <w:rPr>
          <w:rFonts w:hint="eastAsia" w:ascii="仿宋_GB2312" w:hAnsi="宋体" w:eastAsia="仿宋_GB2312" w:cs="宋体"/>
          <w:spacing w:val="4"/>
          <w:kern w:val="0"/>
          <w:sz w:val="32"/>
          <w:szCs w:val="32"/>
        </w:rPr>
        <w:t>公共服务。</w:t>
      </w:r>
    </w:p>
    <w:p>
      <w:pPr>
        <w:pStyle w:val="4"/>
        <w:snapToGrid w:val="0"/>
        <w:jc w:val="center"/>
        <w:textAlignment w:val="baseline"/>
      </w:pPr>
      <w:bookmarkStart w:id="107" w:name="_Toc10887"/>
      <w:bookmarkStart w:id="108" w:name="_Toc10918"/>
      <w:r>
        <w:rPr>
          <w:rFonts w:hint="eastAsia"/>
        </w:rPr>
        <w:t>第二节 基本原则</w:t>
      </w:r>
      <w:bookmarkEnd w:id="107"/>
      <w:bookmarkEnd w:id="108"/>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——坚持紧扣经济发展。</w:t>
      </w:r>
      <w:r>
        <w:rPr>
          <w:rFonts w:hint="eastAsia" w:ascii="仿宋_GB2312" w:hAnsi="仿宋_GB2312" w:eastAsia="仿宋_GB2312" w:cs="仿宋_GB2312"/>
          <w:sz w:val="32"/>
          <w:szCs w:val="32"/>
        </w:rPr>
        <w:t>以习近平新时代中国特色社会主义思想为指导，积极融入以国内大循环为主体、国内国际双循环相互促进的新发展格局，加强组织领导，深入调查研究，在谋划全局中找准定位，选好路径。紧扣六个“围绕”，盘家底、找问题、理思路、定目标、谋项目、添动能，推动全州人力资源社会保障事业全面协调可持续发展。</w:t>
      </w:r>
    </w:p>
    <w:p>
      <w:pPr>
        <w:pStyle w:val="22"/>
        <w:shd w:val="clear" w:color="auto" w:fill="FFFFFF"/>
        <w:snapToGrid w:val="0"/>
        <w:spacing w:before="0" w:beforeAutospacing="0" w:after="0" w:afterAutospacing="0"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——坚持保障和改善民生。</w:t>
      </w:r>
      <w:r>
        <w:rPr>
          <w:rFonts w:hint="eastAsia" w:ascii="仿宋_GB2312" w:hAnsi="仿宋_GB2312" w:eastAsia="仿宋_GB2312" w:cs="仿宋_GB2312"/>
          <w:sz w:val="32"/>
          <w:szCs w:val="32"/>
        </w:rPr>
        <w:t>坚持以人为本，从维护社会公平正义出发，把保障和改善民生作为人力资源社会保障事业发展的出发点和落脚点，提高民生规划的系统性，着力解决好人民群众最关心最直接最现实的就业、社会保障、劳动技能提升等问题，增进民生福祉，使发展成果更多惠及人民群众。</w:t>
      </w:r>
    </w:p>
    <w:p>
      <w:pPr>
        <w:pStyle w:val="22"/>
        <w:shd w:val="clear" w:color="auto" w:fill="FFFFFF"/>
        <w:snapToGrid w:val="0"/>
        <w:spacing w:before="0" w:beforeAutospacing="0" w:after="0" w:afterAutospacing="0"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——坚持全面深化改革。</w:t>
      </w:r>
      <w:r>
        <w:rPr>
          <w:rFonts w:hint="eastAsia" w:ascii="仿宋_GB2312" w:hAnsi="仿宋_GB2312" w:eastAsia="仿宋_GB2312" w:cs="仿宋_GB2312"/>
          <w:sz w:val="32"/>
          <w:szCs w:val="32"/>
        </w:rPr>
        <w:t>坚持问题导向和改革创新，主动适应经济发展新格局，把深化改革与促进发展、调整结构和改善民生更好地结合起来，进一步创新</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思路、体制机制和工作方法，谋划好重点领域和关键环节的改革举措，不断破解影响民生福祉的突出矛盾和关键问题，力求取得更大成效、赢得更大红利。</w:t>
      </w:r>
    </w:p>
    <w:p>
      <w:pPr>
        <w:shd w:val="clear" w:color="auto" w:fill="FFFFFF"/>
        <w:snapToGrid w:val="0"/>
        <w:spacing w:line="360" w:lineRule="auto"/>
        <w:ind w:firstLine="642" w:firstLineChars="200"/>
        <w:jc w:val="left"/>
        <w:textAlignment w:val="baseline"/>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Cs/>
          <w:sz w:val="32"/>
          <w:szCs w:val="32"/>
        </w:rPr>
        <w:t>坚持突出市场导向。</w:t>
      </w:r>
      <w:r>
        <w:rPr>
          <w:rFonts w:hint="eastAsia" w:ascii="仿宋_GB2312" w:hAnsi="仿宋_GB2312" w:eastAsia="仿宋_GB2312" w:cs="仿宋_GB2312"/>
          <w:sz w:val="32"/>
          <w:szCs w:val="32"/>
        </w:rPr>
        <w:t>进一步处理好政府与市场的关系，厘清政府的职责边界，进一步简政放权，探索人力资源和社会保障服务新模式，加快信息化进程，提高公共服务水平，实现便利、高效、优质服务，最大限度地满足人民群众对人力资源社会保障公共服务的需求。激发发展新活力，切实提高发展的质量和效益。</w:t>
      </w:r>
    </w:p>
    <w:p>
      <w:pPr>
        <w:pStyle w:val="4"/>
        <w:snapToGrid w:val="0"/>
        <w:jc w:val="center"/>
        <w:textAlignment w:val="baseline"/>
      </w:pPr>
      <w:bookmarkStart w:id="109" w:name="_Toc16843"/>
      <w:bookmarkStart w:id="110" w:name="_Toc31770"/>
      <w:bookmarkStart w:id="111" w:name="_Toc26992"/>
      <w:bookmarkStart w:id="112" w:name="_Toc29812"/>
      <w:r>
        <w:rPr>
          <w:rFonts w:hint="eastAsia"/>
        </w:rPr>
        <w:t>第三节 主要目标</w:t>
      </w:r>
      <w:bookmarkEnd w:id="109"/>
      <w:bookmarkEnd w:id="110"/>
      <w:bookmarkEnd w:id="111"/>
      <w:bookmarkEnd w:id="112"/>
    </w:p>
    <w:p>
      <w:pPr>
        <w:shd w:val="clear" w:color="auto" w:fill="FFFFFF"/>
        <w:snapToGrid w:val="0"/>
        <w:spacing w:line="360" w:lineRule="auto"/>
        <w:ind w:firstLine="640" w:firstLineChars="200"/>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两个一百年”的奋斗目标，紧扣推进落实“四新”“四化”工作任务，紧密结合黔南人力资源和社会保障事业改革发展实际，综合考虑宏观环境、发展条件和承载能力，统筹确定未来五年人力资源和社会保障事业发展的主要目标。</w:t>
      </w:r>
    </w:p>
    <w:p>
      <w:pPr>
        <w:snapToGrid w:val="0"/>
        <w:spacing w:line="360" w:lineRule="auto"/>
        <w:ind w:firstLine="640"/>
        <w:textAlignment w:val="baseline"/>
        <w:rPr>
          <w:rFonts w:eastAsia="仿宋_GB2312"/>
          <w:color w:val="auto"/>
          <w:sz w:val="32"/>
          <w:szCs w:val="32"/>
        </w:rPr>
      </w:pPr>
      <w:r>
        <w:rPr>
          <w:rFonts w:hint="eastAsia" w:ascii="楷体_GB2312" w:hAnsi="楷体_GB2312" w:eastAsia="楷体_GB2312" w:cs="楷体_GB2312"/>
          <w:sz w:val="32"/>
          <w:szCs w:val="32"/>
        </w:rPr>
        <w:t>——实现更加充分更高质量就业。</w:t>
      </w:r>
      <w:r>
        <w:rPr>
          <w:rFonts w:hint="eastAsia" w:ascii="仿宋_GB2312" w:hAnsi="仿宋_GB2312" w:eastAsia="仿宋_GB2312" w:cs="仿宋_GB2312"/>
          <w:sz w:val="32"/>
          <w:szCs w:val="32"/>
        </w:rPr>
        <w:t>强化落实就业优先政策，千方百计稳定和扩大就业，坚持经济发展就业导向，扩大就业容量，提升就业质量，促进充分就业，健全就业公共服务体系。更加注重缓解结构性就业矛盾，加快提升劳动者技能素质，完善重点群体就业支持体系，统筹城乡就业政策工作。扩大公益性岗位安置，帮扶残疾人、零就业家庭成员等低收入就业困难人员。完善促进创业带动就业、多渠道灵活就业的保障制度，支持和规范发展新就业形态，健全就业需求调查和失业监测预警机制。</w:t>
      </w:r>
      <w:r>
        <w:rPr>
          <w:rFonts w:hint="eastAsia" w:ascii="仿宋_GB2312" w:hAnsi="仿宋_GB2312" w:eastAsia="仿宋_GB2312" w:cs="仿宋_GB2312"/>
          <w:color w:val="auto"/>
          <w:sz w:val="32"/>
          <w:szCs w:val="32"/>
        </w:rPr>
        <w:t>“十四五”期间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力争实现城镇新增就业</w:t>
      </w:r>
      <w:r>
        <w:rPr>
          <w:rFonts w:hint="eastAsia" w:eastAsia="仿宋_GB2312"/>
          <w:color w:val="auto"/>
          <w:sz w:val="32"/>
          <w:szCs w:val="32"/>
          <w:lang w:val="en-US" w:eastAsia="zh-CN"/>
        </w:rPr>
        <w:t>30</w:t>
      </w:r>
      <w:r>
        <w:rPr>
          <w:rFonts w:hint="eastAsia" w:eastAsia="仿宋_GB2312"/>
          <w:color w:val="auto"/>
          <w:sz w:val="32"/>
          <w:szCs w:val="32"/>
        </w:rPr>
        <w:t>万</w:t>
      </w:r>
      <w:r>
        <w:rPr>
          <w:rFonts w:hint="eastAsia" w:eastAsia="仿宋_GB2312"/>
          <w:color w:val="auto"/>
          <w:sz w:val="32"/>
          <w:szCs w:val="32"/>
          <w:lang w:eastAsia="zh-CN"/>
        </w:rPr>
        <w:t>人</w:t>
      </w:r>
      <w:r>
        <w:rPr>
          <w:rFonts w:hint="eastAsia" w:eastAsia="仿宋_GB2312"/>
          <w:color w:val="auto"/>
          <w:sz w:val="32"/>
          <w:szCs w:val="32"/>
        </w:rPr>
        <w:t>，</w:t>
      </w:r>
      <w:r>
        <w:rPr>
          <w:rFonts w:hint="eastAsia" w:ascii="仿宋_GB2312" w:hAnsi="仿宋_GB2312" w:eastAsia="仿宋_GB2312" w:cs="仿宋_GB2312"/>
          <w:color w:val="auto"/>
          <w:sz w:val="32"/>
          <w:szCs w:val="32"/>
        </w:rPr>
        <w:t>失业人员再就业</w:t>
      </w:r>
      <w:r>
        <w:rPr>
          <w:rFonts w:hint="eastAsia" w:eastAsia="仿宋_GB2312"/>
          <w:color w:val="auto"/>
          <w:sz w:val="32"/>
          <w:szCs w:val="32"/>
          <w:lang w:val="en-US" w:eastAsia="zh-CN"/>
        </w:rPr>
        <w:t>5.5</w:t>
      </w:r>
      <w:r>
        <w:rPr>
          <w:rFonts w:hint="eastAsia" w:ascii="仿宋_GB2312" w:hAnsi="仿宋_GB2312" w:eastAsia="仿宋_GB2312" w:cs="仿宋_GB2312"/>
          <w:color w:val="auto"/>
          <w:sz w:val="32"/>
          <w:szCs w:val="32"/>
          <w:lang w:val="en-US" w:eastAsia="zh-CN"/>
        </w:rPr>
        <w:t>万人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就业困难人员再就业</w:t>
      </w:r>
      <w:r>
        <w:rPr>
          <w:rFonts w:hint="eastAsia" w:eastAsia="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万人</w:t>
      </w:r>
      <w:r>
        <w:rPr>
          <w:rFonts w:hint="eastAsia" w:ascii="仿宋_GB2312" w:hAnsi="仿宋_GB2312" w:eastAsia="仿宋_GB2312" w:cs="仿宋_GB2312"/>
          <w:color w:val="auto"/>
          <w:sz w:val="32"/>
          <w:szCs w:val="32"/>
        </w:rPr>
        <w:t>，</w:t>
      </w:r>
      <w:r>
        <w:rPr>
          <w:rFonts w:hint="eastAsia" w:eastAsia="仿宋_GB2312"/>
          <w:color w:val="auto"/>
          <w:sz w:val="32"/>
          <w:szCs w:val="32"/>
        </w:rPr>
        <w:t>确保就业局势总体稳定。</w:t>
      </w:r>
    </w:p>
    <w:p>
      <w:pPr>
        <w:pStyle w:val="23"/>
        <w:widowControl w:val="0"/>
        <w:snapToGrid w:val="0"/>
        <w:spacing w:before="0" w:after="0" w:line="360" w:lineRule="auto"/>
        <w:jc w:val="both"/>
        <w:textAlignment w:val="baseline"/>
        <w:rPr>
          <w:rFonts w:hint="eastAsia" w:ascii="黑体" w:hAnsi="黑体" w:eastAsia="黑体" w:cs="仿宋_GB2312"/>
          <w:b w:val="0"/>
          <w:kern w:val="0"/>
          <w:sz w:val="28"/>
          <w:szCs w:val="28"/>
        </w:rPr>
      </w:pPr>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13" w:name="_Toc20382"/>
      <w:r>
        <w:rPr>
          <w:rFonts w:hint="eastAsia" w:ascii="黑体" w:hAnsi="黑体" w:eastAsia="黑体" w:cs="仿宋_GB2312"/>
          <w:b w:val="0"/>
          <w:kern w:val="0"/>
          <w:sz w:val="28"/>
          <w:szCs w:val="28"/>
        </w:rPr>
        <w:t>专栏2  就业创业主要发展指标</w:t>
      </w:r>
      <w:bookmarkEnd w:id="113"/>
    </w:p>
    <w:tbl>
      <w:tblPr>
        <w:tblStyle w:val="25"/>
        <w:tblW w:w="91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753"/>
        <w:gridCol w:w="1418"/>
        <w:gridCol w:w="1417"/>
        <w:gridCol w:w="15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eastAsia" w:ascii="仿宋_GB2312" w:hAnsi="黑体" w:eastAsia="仿宋_GB2312"/>
                <w:sz w:val="24"/>
                <w:szCs w:val="24"/>
              </w:rPr>
            </w:pPr>
            <w:r>
              <w:rPr>
                <w:rFonts w:hint="eastAsia" w:ascii="仿宋_GB2312" w:hAnsi="黑体" w:eastAsia="仿宋_GB2312"/>
                <w:sz w:val="24"/>
                <w:szCs w:val="24"/>
              </w:rPr>
              <w:t>指标</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eastAsia" w:eastAsia="仿宋_GB2312"/>
                <w:color w:val="auto"/>
                <w:sz w:val="24"/>
                <w:szCs w:val="24"/>
              </w:rPr>
            </w:pPr>
            <w:r>
              <w:rPr>
                <w:rFonts w:hint="eastAsia" w:eastAsia="仿宋_GB2312"/>
                <w:color w:val="auto"/>
                <w:sz w:val="24"/>
                <w:szCs w:val="24"/>
              </w:rPr>
              <w:t>2020年</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eastAsia" w:eastAsia="仿宋_GB2312"/>
                <w:color w:val="auto"/>
                <w:sz w:val="24"/>
                <w:szCs w:val="24"/>
              </w:rPr>
            </w:pPr>
            <w:r>
              <w:rPr>
                <w:rFonts w:hint="eastAsia" w:eastAsia="仿宋_GB2312"/>
                <w:color w:val="auto"/>
                <w:sz w:val="24"/>
                <w:szCs w:val="24"/>
              </w:rPr>
              <w:t>2025年</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eastAsia" w:ascii="仿宋_GB2312" w:hAnsi="黑体" w:eastAsia="仿宋_GB2312"/>
                <w:sz w:val="24"/>
                <w:szCs w:val="24"/>
              </w:rPr>
            </w:pPr>
            <w:r>
              <w:rPr>
                <w:rFonts w:hint="eastAsia" w:ascii="仿宋_GB2312" w:hAnsi="黑体" w:eastAsia="仿宋_GB2312"/>
                <w:sz w:val="24"/>
                <w:szCs w:val="24"/>
              </w:rPr>
              <w:t>指标属性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rPr>
            </w:pPr>
            <w:r>
              <w:rPr>
                <w:rFonts w:eastAsia="仿宋_GB2312"/>
                <w:color w:val="auto"/>
                <w:sz w:val="24"/>
                <w:szCs w:val="24"/>
              </w:rPr>
              <w:t>1.城镇新增就业人数（万人）</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bCs/>
                <w:color w:val="auto"/>
                <w:sz w:val="24"/>
                <w:szCs w:val="24"/>
              </w:rPr>
              <w:t>［</w:t>
            </w:r>
            <w:r>
              <w:rPr>
                <w:rFonts w:eastAsia="仿宋_GB2312"/>
                <w:color w:val="auto"/>
                <w:sz w:val="24"/>
                <w:szCs w:val="24"/>
              </w:rPr>
              <w:t>35</w:t>
            </w:r>
            <w:r>
              <w:rPr>
                <w:rFonts w:hint="eastAsia" w:eastAsia="仿宋_GB2312"/>
                <w:color w:val="auto"/>
                <w:sz w:val="24"/>
                <w:szCs w:val="24"/>
                <w:lang w:val="en-US" w:eastAsia="zh-CN"/>
              </w:rPr>
              <w:t>.32</w:t>
            </w:r>
            <w:r>
              <w:rPr>
                <w:rFonts w:eastAsia="仿宋_GB2312"/>
                <w:bCs/>
                <w:color w:val="auto"/>
                <w:sz w:val="24"/>
                <w:szCs w:val="24"/>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highlight w:val="none"/>
              </w:rPr>
              <w:t>≥</w:t>
            </w:r>
            <w:r>
              <w:rPr>
                <w:rFonts w:eastAsia="仿宋_GB2312"/>
                <w:bCs/>
                <w:color w:val="auto"/>
                <w:sz w:val="24"/>
                <w:szCs w:val="24"/>
                <w:highlight w:val="none"/>
              </w:rPr>
              <w:t>［</w:t>
            </w:r>
            <w:r>
              <w:rPr>
                <w:rFonts w:hint="eastAsia" w:eastAsia="仿宋_GB2312"/>
                <w:color w:val="auto"/>
                <w:sz w:val="24"/>
                <w:szCs w:val="24"/>
                <w:highlight w:val="none"/>
                <w:lang w:val="en-US" w:eastAsia="zh-CN"/>
              </w:rPr>
              <w:t>30</w:t>
            </w:r>
            <w:r>
              <w:rPr>
                <w:rFonts w:eastAsia="仿宋_GB2312"/>
                <w:bCs/>
                <w:color w:val="auto"/>
                <w:sz w:val="24"/>
                <w:szCs w:val="24"/>
                <w:highlight w:val="none"/>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rPr>
            </w:pPr>
            <w:r>
              <w:rPr>
                <w:rFonts w:eastAsia="仿宋_GB2312"/>
                <w:color w:val="auto"/>
                <w:sz w:val="24"/>
                <w:szCs w:val="24"/>
              </w:rPr>
              <w:t>2.失业人员再就业（万人）</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［6.57］</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≥［5.5］</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rPr>
            </w:pPr>
            <w:r>
              <w:rPr>
                <w:rFonts w:eastAsia="仿宋_GB2312"/>
                <w:color w:val="auto"/>
                <w:sz w:val="24"/>
                <w:szCs w:val="24"/>
              </w:rPr>
              <w:t>3.就业困难人员</w:t>
            </w:r>
            <w:r>
              <w:rPr>
                <w:rFonts w:hint="eastAsia" w:eastAsia="仿宋_GB2312"/>
                <w:color w:val="auto"/>
                <w:sz w:val="24"/>
                <w:szCs w:val="24"/>
              </w:rPr>
              <w:t>再</w:t>
            </w:r>
            <w:r>
              <w:rPr>
                <w:rFonts w:eastAsia="仿宋_GB2312"/>
                <w:color w:val="auto"/>
                <w:sz w:val="24"/>
                <w:szCs w:val="24"/>
              </w:rPr>
              <w:t>就业人数（万人）</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w:t>
            </w:r>
            <w:r>
              <w:rPr>
                <w:rFonts w:hint="eastAsia" w:eastAsia="仿宋_GB2312"/>
                <w:color w:val="auto"/>
                <w:sz w:val="24"/>
                <w:szCs w:val="24"/>
                <w:lang w:val="en-US" w:eastAsia="zh-CN"/>
              </w:rPr>
              <w:t>4.84</w:t>
            </w:r>
            <w:r>
              <w:rPr>
                <w:rFonts w:eastAsia="仿宋_GB2312"/>
                <w:color w:val="auto"/>
                <w:sz w:val="24"/>
                <w:szCs w:val="24"/>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bCs/>
                <w:color w:val="auto"/>
                <w:sz w:val="24"/>
                <w:szCs w:val="24"/>
              </w:rPr>
              <w:t>［</w:t>
            </w:r>
            <w:r>
              <w:rPr>
                <w:rFonts w:eastAsia="仿宋_GB2312"/>
                <w:color w:val="auto"/>
                <w:sz w:val="24"/>
                <w:szCs w:val="24"/>
              </w:rPr>
              <w:t>4］</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rPr>
            </w:pPr>
            <w:r>
              <w:rPr>
                <w:rFonts w:hint="eastAsia" w:eastAsia="仿宋_GB2312"/>
                <w:color w:val="auto"/>
                <w:sz w:val="24"/>
                <w:szCs w:val="24"/>
              </w:rPr>
              <w:t>4</w:t>
            </w:r>
            <w:r>
              <w:rPr>
                <w:rFonts w:eastAsia="仿宋_GB2312"/>
                <w:color w:val="auto"/>
                <w:sz w:val="24"/>
                <w:szCs w:val="24"/>
              </w:rPr>
              <w:t>.高校毕业生创业（万人）</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［0.1］</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［0.15］</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highlight w:val="none"/>
              </w:rPr>
            </w:pPr>
            <w:r>
              <w:rPr>
                <w:rFonts w:hint="eastAsia" w:eastAsia="仿宋_GB2312"/>
                <w:color w:val="auto"/>
                <w:sz w:val="24"/>
                <w:szCs w:val="24"/>
                <w:highlight w:val="none"/>
              </w:rPr>
              <w:t>5</w:t>
            </w:r>
            <w:r>
              <w:rPr>
                <w:rFonts w:eastAsia="仿宋_GB2312"/>
                <w:color w:val="auto"/>
                <w:sz w:val="24"/>
                <w:szCs w:val="24"/>
                <w:highlight w:val="none"/>
              </w:rPr>
              <w:t>.</w:t>
            </w:r>
            <w:r>
              <w:rPr>
                <w:rFonts w:hint="eastAsia" w:eastAsia="仿宋_GB2312"/>
                <w:color w:val="auto"/>
                <w:sz w:val="24"/>
                <w:szCs w:val="24"/>
                <w:highlight w:val="none"/>
                <w:lang w:val="en-US" w:eastAsia="zh-CN"/>
              </w:rPr>
              <w:t>职业培训（万人次）</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w:t>
            </w:r>
            <w:r>
              <w:rPr>
                <w:rFonts w:hint="eastAsia" w:eastAsia="仿宋_GB2312"/>
                <w:color w:val="auto"/>
                <w:sz w:val="24"/>
                <w:szCs w:val="24"/>
                <w:highlight w:val="none"/>
                <w:lang w:val="en-US" w:eastAsia="zh-CN"/>
              </w:rPr>
              <w:t>32.69</w:t>
            </w:r>
            <w:r>
              <w:rPr>
                <w:rFonts w:eastAsia="仿宋_GB2312"/>
                <w:color w:val="auto"/>
                <w:sz w:val="24"/>
                <w:szCs w:val="24"/>
                <w:highlight w:val="none"/>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eastAsia" w:eastAsia="仿宋_GB2312"/>
                <w:color w:val="auto"/>
                <w:sz w:val="24"/>
                <w:szCs w:val="24"/>
                <w:highlight w:val="none"/>
                <w:lang w:eastAsia="zh-CN"/>
              </w:rPr>
            </w:pPr>
            <w:r>
              <w:rPr>
                <w:rFonts w:eastAsia="仿宋_GB2312"/>
                <w:color w:val="auto"/>
                <w:sz w:val="24"/>
                <w:szCs w:val="24"/>
                <w:highlight w:val="none"/>
              </w:rPr>
              <w:t>≥［</w:t>
            </w:r>
            <w:r>
              <w:rPr>
                <w:rFonts w:hint="eastAsia" w:eastAsia="仿宋_GB2312"/>
                <w:color w:val="auto"/>
                <w:sz w:val="24"/>
                <w:szCs w:val="24"/>
                <w:highlight w:val="none"/>
              </w:rPr>
              <w:t>3</w:t>
            </w:r>
            <w:r>
              <w:rPr>
                <w:rFonts w:hint="eastAsia" w:eastAsia="仿宋_GB2312"/>
                <w:color w:val="auto"/>
                <w:sz w:val="24"/>
                <w:szCs w:val="24"/>
                <w:highlight w:val="none"/>
                <w:lang w:val="en-US" w:eastAsia="zh-CN"/>
              </w:rPr>
              <w:t>3</w:t>
            </w:r>
            <w:r>
              <w:rPr>
                <w:rFonts w:eastAsia="仿宋_GB2312"/>
                <w:color w:val="auto"/>
                <w:sz w:val="24"/>
                <w:szCs w:val="24"/>
                <w:highlight w:val="none"/>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highlight w:val="none"/>
              </w:rPr>
            </w:pPr>
            <w:r>
              <w:rPr>
                <w:rFonts w:hint="eastAsia" w:eastAsia="仿宋_GB2312"/>
                <w:color w:val="auto"/>
                <w:sz w:val="24"/>
                <w:szCs w:val="24"/>
                <w:highlight w:val="none"/>
              </w:rPr>
              <w:t>6.开展农村劳动力综合素质培训（万人次）</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default" w:eastAsia="仿宋_GB2312"/>
                <w:color w:val="auto"/>
                <w:sz w:val="24"/>
                <w:szCs w:val="24"/>
                <w:highlight w:val="none"/>
                <w:lang w:val="en-US" w:eastAsia="zh-CN"/>
              </w:rPr>
            </w:pPr>
            <w:r>
              <w:rPr>
                <w:rFonts w:hint="eastAsia" w:eastAsia="仿宋_GB2312"/>
                <w:color w:val="auto"/>
                <w:sz w:val="24"/>
                <w:szCs w:val="24"/>
                <w:highlight w:val="none"/>
                <w:lang w:val="en-US" w:eastAsia="zh-CN"/>
              </w:rPr>
              <w:t>[248.02]</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hint="eastAsia" w:eastAsia="仿宋_GB2312"/>
                <w:color w:val="auto"/>
                <w:sz w:val="24"/>
                <w:szCs w:val="24"/>
                <w:highlight w:val="none"/>
              </w:rPr>
              <w:t>≥[300]</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highlight w:val="none"/>
              </w:rPr>
            </w:pPr>
            <w:r>
              <w:rPr>
                <w:rFonts w:hint="eastAsia" w:eastAsia="仿宋_GB2312"/>
                <w:color w:val="auto"/>
                <w:sz w:val="24"/>
                <w:szCs w:val="24"/>
                <w:highlight w:val="none"/>
                <w:lang w:val="en-US" w:eastAsia="zh-CN"/>
              </w:rPr>
              <w:t>7.开展农村劳动力职业培训（万人次）</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hint="default" w:eastAsia="仿宋_GB2312"/>
                <w:color w:val="auto"/>
                <w:sz w:val="24"/>
                <w:szCs w:val="24"/>
                <w:highlight w:val="none"/>
                <w:lang w:val="en-US" w:eastAsia="zh-CN"/>
              </w:rPr>
            </w:pPr>
            <w:r>
              <w:rPr>
                <w:rFonts w:eastAsia="仿宋_GB2312"/>
                <w:color w:val="auto"/>
                <w:sz w:val="24"/>
                <w:szCs w:val="24"/>
                <w:highlight w:val="none"/>
              </w:rPr>
              <w:t>［</w:t>
            </w:r>
            <w:r>
              <w:rPr>
                <w:rFonts w:hint="eastAsia" w:eastAsia="仿宋_GB2312"/>
                <w:color w:val="auto"/>
                <w:sz w:val="24"/>
                <w:szCs w:val="24"/>
                <w:highlight w:val="none"/>
                <w:lang w:val="en-US" w:eastAsia="zh-CN"/>
              </w:rPr>
              <w:t>28.3</w:t>
            </w:r>
            <w:r>
              <w:rPr>
                <w:rFonts w:eastAsia="仿宋_GB2312"/>
                <w:color w:val="auto"/>
                <w:sz w:val="24"/>
                <w:szCs w:val="24"/>
                <w:highlight w:val="none"/>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hint="eastAsia" w:eastAsia="仿宋_GB2312"/>
                <w:color w:val="auto"/>
                <w:sz w:val="24"/>
                <w:szCs w:val="24"/>
                <w:highlight w:val="none"/>
                <w:lang w:eastAsia="zh-CN"/>
              </w:rPr>
              <w:t>≥</w:t>
            </w:r>
            <w:r>
              <w:rPr>
                <w:rFonts w:hint="eastAsia" w:eastAsia="仿宋_GB2312"/>
                <w:color w:val="auto"/>
                <w:sz w:val="24"/>
                <w:szCs w:val="24"/>
                <w:highlight w:val="none"/>
              </w:rPr>
              <w:t>[</w:t>
            </w:r>
            <w:r>
              <w:rPr>
                <w:rFonts w:hint="eastAsia" w:eastAsia="仿宋_GB2312"/>
                <w:color w:val="auto"/>
                <w:sz w:val="24"/>
                <w:szCs w:val="24"/>
                <w:highlight w:val="none"/>
                <w:lang w:val="en-US" w:eastAsia="zh-CN"/>
              </w:rPr>
              <w:t>25</w:t>
            </w:r>
            <w:r>
              <w:rPr>
                <w:rFonts w:hint="eastAsia" w:eastAsia="仿宋_GB2312"/>
                <w:color w:val="auto"/>
                <w:sz w:val="24"/>
                <w:szCs w:val="24"/>
                <w:highlight w:val="none"/>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eastAsia="仿宋_GB2312"/>
                <w:color w:val="auto"/>
                <w:sz w:val="24"/>
                <w:szCs w:val="24"/>
              </w:rPr>
            </w:pPr>
            <w:r>
              <w:rPr>
                <w:rFonts w:hint="eastAsia" w:eastAsia="仿宋_GB2312"/>
                <w:color w:val="auto"/>
                <w:sz w:val="24"/>
                <w:szCs w:val="24"/>
                <w:lang w:val="en-US" w:eastAsia="zh-CN"/>
              </w:rPr>
              <w:t>8</w:t>
            </w:r>
            <w:r>
              <w:rPr>
                <w:rFonts w:eastAsia="仿宋_GB2312"/>
                <w:color w:val="auto"/>
                <w:sz w:val="24"/>
                <w:szCs w:val="24"/>
              </w:rPr>
              <w:t>.技能人才培</w:t>
            </w:r>
            <w:r>
              <w:rPr>
                <w:rFonts w:hint="eastAsia" w:eastAsia="仿宋_GB2312"/>
                <w:color w:val="auto"/>
                <w:sz w:val="24"/>
                <w:szCs w:val="24"/>
              </w:rPr>
              <w:t>养</w:t>
            </w:r>
            <w:r>
              <w:rPr>
                <w:rFonts w:eastAsia="仿宋_GB2312"/>
                <w:color w:val="auto"/>
                <w:sz w:val="24"/>
                <w:szCs w:val="24"/>
              </w:rPr>
              <w:t>（万人次）</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0.85</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rPr>
              <w:t>［</w:t>
            </w:r>
            <w:r>
              <w:rPr>
                <w:rFonts w:hint="eastAsia" w:eastAsia="仿宋_GB2312"/>
                <w:color w:val="auto"/>
                <w:sz w:val="24"/>
                <w:szCs w:val="24"/>
              </w:rPr>
              <w:t>6</w:t>
            </w:r>
            <w:r>
              <w:rPr>
                <w:rFonts w:eastAsia="仿宋_GB2312"/>
                <w:color w:val="auto"/>
                <w:sz w:val="24"/>
                <w:szCs w:val="24"/>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hint="eastAsia" w:eastAsia="仿宋_GB2312"/>
                <w:color w:val="auto"/>
                <w:sz w:val="24"/>
                <w:szCs w:val="24"/>
              </w:rPr>
            </w:pPr>
            <w:r>
              <w:rPr>
                <w:rFonts w:hint="eastAsia" w:eastAsia="仿宋_GB2312"/>
                <w:color w:val="auto"/>
                <w:sz w:val="24"/>
                <w:szCs w:val="24"/>
                <w:lang w:val="en-US" w:eastAsia="zh-CN"/>
              </w:rPr>
              <w:t>9.</w:t>
            </w:r>
            <w:r>
              <w:rPr>
                <w:rFonts w:eastAsia="仿宋_GB2312"/>
                <w:color w:val="auto"/>
                <w:sz w:val="24"/>
                <w:szCs w:val="24"/>
              </w:rPr>
              <w:t>其中高技能人才培养（万人次）</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bCs/>
                <w:color w:val="auto"/>
                <w:sz w:val="24"/>
                <w:szCs w:val="24"/>
              </w:rPr>
            </w:pPr>
            <w:r>
              <w:rPr>
                <w:rFonts w:eastAsia="仿宋_GB2312"/>
                <w:bCs/>
                <w:color w:val="auto"/>
                <w:sz w:val="24"/>
                <w:szCs w:val="24"/>
              </w:rPr>
              <w:t>［</w:t>
            </w:r>
            <w:r>
              <w:rPr>
                <w:rFonts w:hint="eastAsia" w:eastAsia="仿宋_GB2312"/>
                <w:bCs/>
                <w:color w:val="auto"/>
                <w:sz w:val="24"/>
                <w:szCs w:val="24"/>
              </w:rPr>
              <w:t>1.84</w:t>
            </w:r>
            <w:r>
              <w:rPr>
                <w:rFonts w:eastAsia="仿宋_GB2312"/>
                <w:bCs/>
                <w:color w:val="auto"/>
                <w:sz w:val="24"/>
                <w:szCs w:val="24"/>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w:t>
            </w:r>
            <w:r>
              <w:rPr>
                <w:rFonts w:hint="eastAsia" w:eastAsia="仿宋_GB2312"/>
                <w:color w:val="auto"/>
                <w:sz w:val="24"/>
                <w:szCs w:val="24"/>
                <w:highlight w:val="none"/>
                <w:lang w:val="en-US" w:eastAsia="zh-CN"/>
              </w:rPr>
              <w:t>3</w:t>
            </w:r>
            <w:r>
              <w:rPr>
                <w:rFonts w:eastAsia="仿宋_GB2312"/>
                <w:color w:val="auto"/>
                <w:sz w:val="24"/>
                <w:szCs w:val="24"/>
                <w:highlight w:val="none"/>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753" w:type="dxa"/>
            <w:tcBorders>
              <w:top w:val="single" w:color="auto" w:sz="2" w:space="0"/>
              <w:left w:val="single" w:color="auto" w:sz="2" w:space="0"/>
              <w:bottom w:val="single" w:color="auto" w:sz="2" w:space="0"/>
              <w:right w:val="single" w:color="auto" w:sz="2" w:space="0"/>
            </w:tcBorders>
            <w:vAlign w:val="center"/>
          </w:tcPr>
          <w:p>
            <w:pPr>
              <w:snapToGrid w:val="0"/>
              <w:jc w:val="left"/>
              <w:textAlignment w:val="baseline"/>
              <w:rPr>
                <w:rFonts w:hint="eastAsia" w:eastAsia="仿宋_GB2312"/>
                <w:color w:val="auto"/>
                <w:sz w:val="24"/>
                <w:szCs w:val="24"/>
              </w:rPr>
            </w:pPr>
            <w:r>
              <w:rPr>
                <w:rFonts w:hint="eastAsia" w:eastAsia="仿宋_GB2312"/>
                <w:color w:val="auto"/>
                <w:sz w:val="24"/>
                <w:szCs w:val="24"/>
                <w:lang w:val="en-US" w:eastAsia="zh-CN"/>
              </w:rPr>
              <w:t>10.</w:t>
            </w:r>
            <w:r>
              <w:rPr>
                <w:rFonts w:eastAsia="仿宋_GB2312"/>
                <w:color w:val="auto"/>
                <w:sz w:val="24"/>
                <w:szCs w:val="24"/>
              </w:rPr>
              <w:t>技工院校招生（万人）</w:t>
            </w:r>
          </w:p>
        </w:tc>
        <w:tc>
          <w:tcPr>
            <w:tcW w:w="1418"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bCs/>
                <w:color w:val="auto"/>
                <w:sz w:val="24"/>
                <w:szCs w:val="24"/>
              </w:rPr>
            </w:pPr>
            <w:r>
              <w:rPr>
                <w:rFonts w:eastAsia="仿宋_GB2312"/>
                <w:bCs/>
                <w:color w:val="auto"/>
                <w:sz w:val="24"/>
                <w:szCs w:val="24"/>
              </w:rPr>
              <w:t>［</w:t>
            </w:r>
            <w:r>
              <w:rPr>
                <w:rFonts w:hint="eastAsia" w:eastAsia="仿宋_GB2312"/>
                <w:bCs/>
                <w:color w:val="auto"/>
                <w:sz w:val="24"/>
                <w:szCs w:val="24"/>
              </w:rPr>
              <w:t>2.1</w:t>
            </w:r>
            <w:r>
              <w:rPr>
                <w:rFonts w:eastAsia="仿宋_GB2312"/>
                <w:bCs/>
                <w:color w:val="auto"/>
                <w:sz w:val="24"/>
                <w:szCs w:val="24"/>
              </w:rPr>
              <w:t>］</w:t>
            </w: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highlight w:val="none"/>
              </w:rPr>
            </w:pPr>
            <w:r>
              <w:rPr>
                <w:rFonts w:eastAsia="仿宋_GB2312"/>
                <w:color w:val="auto"/>
                <w:sz w:val="24"/>
                <w:szCs w:val="24"/>
                <w:highlight w:val="none"/>
              </w:rPr>
              <w:t>［</w:t>
            </w:r>
            <w:r>
              <w:rPr>
                <w:rFonts w:hint="eastAsia" w:eastAsia="仿宋_GB2312"/>
                <w:color w:val="auto"/>
                <w:sz w:val="24"/>
                <w:szCs w:val="24"/>
                <w:highlight w:val="none"/>
                <w:lang w:val="en-US" w:eastAsia="zh-CN"/>
              </w:rPr>
              <w:t>3</w:t>
            </w:r>
            <w:r>
              <w:rPr>
                <w:rFonts w:eastAsia="仿宋_GB2312"/>
                <w:color w:val="auto"/>
                <w:sz w:val="24"/>
                <w:szCs w:val="24"/>
                <w:highlight w:val="none"/>
              </w:rPr>
              <w:t>］</w:t>
            </w:r>
          </w:p>
        </w:tc>
        <w:tc>
          <w:tcPr>
            <w:tcW w:w="1593" w:type="dxa"/>
            <w:tcBorders>
              <w:top w:val="single" w:color="auto" w:sz="2" w:space="0"/>
              <w:left w:val="single" w:color="auto" w:sz="2" w:space="0"/>
              <w:bottom w:val="single" w:color="auto" w:sz="2" w:space="0"/>
              <w:right w:val="single" w:color="auto" w:sz="2" w:space="0"/>
            </w:tcBorders>
            <w:vAlign w:val="center"/>
          </w:tcPr>
          <w:p>
            <w:pPr>
              <w:snapToGrid w:val="0"/>
              <w:jc w:val="center"/>
              <w:textAlignment w:val="baseline"/>
              <w:rPr>
                <w:rFonts w:eastAsia="仿宋_GB2312"/>
                <w:color w:val="auto"/>
                <w:sz w:val="24"/>
                <w:szCs w:val="24"/>
              </w:rPr>
            </w:pPr>
            <w:r>
              <w:rPr>
                <w:rFonts w:eastAsia="仿宋_GB2312"/>
                <w:color w:val="auto"/>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181" w:type="dxa"/>
            <w:gridSpan w:val="4"/>
            <w:tcBorders>
              <w:top w:val="single" w:color="auto" w:sz="2" w:space="0"/>
              <w:left w:val="single" w:color="auto" w:sz="2" w:space="0"/>
              <w:bottom w:val="single" w:color="auto" w:sz="2" w:space="0"/>
              <w:right w:val="single" w:color="auto" w:sz="2" w:space="0"/>
            </w:tcBorders>
            <w:vAlign w:val="center"/>
          </w:tcPr>
          <w:p>
            <w:pPr>
              <w:widowControl w:val="0"/>
              <w:snapToGrid w:val="0"/>
              <w:jc w:val="left"/>
              <w:textAlignment w:val="baseline"/>
              <w:rPr>
                <w:rFonts w:eastAsia="仿宋_GB2312"/>
                <w:color w:val="auto"/>
                <w:kern w:val="0"/>
                <w:sz w:val="24"/>
                <w:szCs w:val="24"/>
              </w:rPr>
            </w:pPr>
            <w:r>
              <w:rPr>
                <w:rFonts w:eastAsia="仿宋_GB2312"/>
                <w:bCs/>
                <w:color w:val="auto"/>
                <w:sz w:val="24"/>
                <w:szCs w:val="24"/>
              </w:rPr>
              <w:t>注：［］内为五年累计数。</w:t>
            </w:r>
          </w:p>
        </w:tc>
      </w:tr>
    </w:tbl>
    <w:p>
      <w:pPr>
        <w:pStyle w:val="23"/>
        <w:widowControl w:val="0"/>
        <w:snapToGrid w:val="0"/>
        <w:spacing w:before="0" w:after="0" w:line="360" w:lineRule="auto"/>
        <w:ind w:firstLine="640" w:firstLineChars="200"/>
        <w:jc w:val="both"/>
        <w:textAlignment w:val="baseline"/>
        <w:rPr>
          <w:rFonts w:ascii="楷体_GB2312" w:hAnsi="楷体_GB2312" w:eastAsia="楷体_GB2312" w:cs="楷体_GB2312"/>
          <w:b w:val="0"/>
        </w:rPr>
      </w:pPr>
      <w:bookmarkStart w:id="114" w:name="_Toc20986"/>
      <w:bookmarkStart w:id="115" w:name="_Toc5184"/>
      <w:bookmarkStart w:id="116" w:name="_Toc7461"/>
      <w:bookmarkStart w:id="117" w:name="_Toc75860064"/>
    </w:p>
    <w:p>
      <w:pPr>
        <w:pStyle w:val="23"/>
        <w:widowControl w:val="0"/>
        <w:snapToGrid w:val="0"/>
        <w:spacing w:before="0" w:after="0" w:line="360" w:lineRule="auto"/>
        <w:ind w:firstLine="640" w:firstLineChars="200"/>
        <w:jc w:val="both"/>
        <w:textAlignment w:val="baseline"/>
        <w:rPr>
          <w:rFonts w:eastAsia="仿宋_GB2312"/>
        </w:rPr>
      </w:pPr>
      <w:bookmarkStart w:id="118" w:name="_Toc21443"/>
      <w:bookmarkStart w:id="119" w:name="_Toc31381"/>
      <w:bookmarkStart w:id="120" w:name="_Toc15701"/>
      <w:bookmarkStart w:id="121" w:name="_Toc23300"/>
      <w:bookmarkStart w:id="122" w:name="_Toc17803"/>
      <w:bookmarkStart w:id="123" w:name="_Toc21012"/>
      <w:bookmarkStart w:id="124" w:name="_Toc90584033"/>
      <w:bookmarkStart w:id="125" w:name="_Toc23447"/>
      <w:r>
        <w:rPr>
          <w:rFonts w:hint="eastAsia" w:ascii="楷体_GB2312" w:hAnsi="楷体_GB2312" w:eastAsia="楷体_GB2312" w:cs="楷体_GB2312"/>
          <w:b w:val="0"/>
        </w:rPr>
        <w:t>——多层次社会保险体系更加</w:t>
      </w:r>
      <w:bookmarkEnd w:id="114"/>
      <w:r>
        <w:rPr>
          <w:rFonts w:hint="eastAsia" w:ascii="楷体_GB2312" w:hAnsi="楷体_GB2312" w:eastAsia="楷体_GB2312" w:cs="楷体_GB2312"/>
          <w:b w:val="0"/>
        </w:rPr>
        <w:t>完善</w:t>
      </w:r>
      <w:bookmarkEnd w:id="115"/>
      <w:bookmarkEnd w:id="116"/>
      <w:r>
        <w:rPr>
          <w:rFonts w:hint="eastAsia" w:ascii="楷体_GB2312" w:hAnsi="楷体_GB2312" w:eastAsia="楷体_GB2312" w:cs="楷体_GB2312"/>
          <w:b w:val="0"/>
        </w:rPr>
        <w:t>。</w:t>
      </w:r>
      <w:bookmarkStart w:id="126" w:name="_Toc13199"/>
      <w:bookmarkStart w:id="127" w:name="_Toc5018"/>
      <w:bookmarkStart w:id="128" w:name="_Toc5933"/>
      <w:bookmarkStart w:id="129" w:name="_Toc20295"/>
      <w:bookmarkStart w:id="130" w:name="_Toc3878"/>
      <w:bookmarkStart w:id="131" w:name="_Toc447"/>
      <w:bookmarkStart w:id="132" w:name="_Toc18431"/>
      <w:r>
        <w:rPr>
          <w:rFonts w:hint="eastAsia" w:ascii="仿宋_GB2312" w:hAnsi="仿宋_GB2312" w:eastAsia="仿宋_GB2312" w:cs="仿宋_GB2312"/>
          <w:b w:val="0"/>
        </w:rPr>
        <w:t>“十四五”时期，坚持惠民生与促发展相结合，深化社会保障制度改革，扩大社会保险覆盖范围，优化社会保险管理服务，健全覆盖全民、统筹城乡、公平统一、可持续的多层次社会保障体系。加快完善多层次多支柱养老保险体系、预防补偿康复“三位一体”工伤保险体系、保生活防失业促就业的失业保险体系。推进社会保险关系转移接续，稳步提高社会保障待遇水平，基金运行安全平稳。健全灵活就业人员社会保险制度，加强工作预防管理。加强社会保险基金监管，推进基本公共服务均等化。基本养老保险参保率达</w:t>
      </w:r>
      <w:r>
        <w:rPr>
          <w:rFonts w:hint="eastAsia" w:ascii="Times New Roman" w:hAnsi="Times New Roman" w:eastAsia="仿宋_GB2312"/>
          <w:b w:val="0"/>
        </w:rPr>
        <w:t>到</w:t>
      </w:r>
      <w:r>
        <w:rPr>
          <w:rFonts w:ascii="Times New Roman" w:hAnsi="Times New Roman" w:eastAsia="仿宋_GB2312"/>
          <w:b w:val="0"/>
        </w:rPr>
        <w:t>95%</w:t>
      </w:r>
      <w:r>
        <w:rPr>
          <w:rFonts w:hint="eastAsia" w:ascii="仿宋_GB2312" w:hAnsi="仿宋_GB2312" w:eastAsia="仿宋_GB2312" w:cs="仿宋_GB2312"/>
          <w:b w:val="0"/>
        </w:rPr>
        <w:t>，城镇</w:t>
      </w:r>
      <w:r>
        <w:rPr>
          <w:rFonts w:hint="eastAsia" w:ascii="Times New Roman" w:hAnsi="仿宋_GB2312" w:eastAsia="仿宋_GB2312"/>
          <w:b w:val="0"/>
        </w:rPr>
        <w:t>职工基本养老保险、城乡居民基本养老保险、失业保险、工伤保险参保人数分别达到</w:t>
      </w:r>
      <w:r>
        <w:rPr>
          <w:rFonts w:ascii="Times New Roman" w:hAnsi="Times New Roman" w:eastAsia="仿宋_GB2312"/>
          <w:b w:val="0"/>
          <w:color w:val="auto"/>
          <w:u w:val="none"/>
        </w:rPr>
        <w:t>48.2</w:t>
      </w:r>
      <w:r>
        <w:rPr>
          <w:rFonts w:hint="eastAsia" w:ascii="Times New Roman" w:hAnsi="Times New Roman" w:eastAsia="仿宋_GB2312"/>
          <w:b w:val="0"/>
          <w:color w:val="auto"/>
          <w:u w:val="none"/>
        </w:rPr>
        <w:t>万人</w:t>
      </w:r>
      <w:r>
        <w:rPr>
          <w:rFonts w:hint="eastAsia" w:ascii="Times New Roman" w:hAnsi="仿宋_GB2312" w:eastAsia="仿宋_GB2312"/>
          <w:b w:val="0"/>
          <w:color w:val="auto"/>
          <w:u w:val="none"/>
        </w:rPr>
        <w:t>、</w:t>
      </w:r>
      <w:r>
        <w:rPr>
          <w:rFonts w:ascii="Times New Roman" w:hAnsi="Times New Roman" w:eastAsia="仿宋_GB2312"/>
          <w:b w:val="0"/>
        </w:rPr>
        <w:t>227.5</w:t>
      </w:r>
      <w:r>
        <w:rPr>
          <w:rFonts w:hint="eastAsia" w:ascii="Times New Roman" w:hAnsi="仿宋_GB2312" w:eastAsia="仿宋_GB2312"/>
          <w:b w:val="0"/>
        </w:rPr>
        <w:t>万人、</w:t>
      </w:r>
      <w:r>
        <w:rPr>
          <w:rFonts w:ascii="Times New Roman" w:hAnsi="Times New Roman" w:eastAsia="仿宋_GB2312"/>
          <w:b w:val="0"/>
        </w:rPr>
        <w:t>23.5</w:t>
      </w:r>
      <w:r>
        <w:rPr>
          <w:rFonts w:hint="eastAsia" w:ascii="Times New Roman" w:hAnsi="仿宋_GB2312" w:eastAsia="仿宋_GB2312"/>
          <w:b w:val="0"/>
        </w:rPr>
        <w:t>万人、</w:t>
      </w:r>
      <w:r>
        <w:rPr>
          <w:rFonts w:ascii="Times New Roman" w:hAnsi="Times New Roman" w:eastAsia="仿宋_GB2312"/>
          <w:b w:val="0"/>
        </w:rPr>
        <w:t>3</w:t>
      </w:r>
      <w:r>
        <w:rPr>
          <w:rFonts w:hint="eastAsia" w:ascii="Times New Roman" w:hAnsi="Times New Roman" w:eastAsia="仿宋_GB2312"/>
          <w:b w:val="0"/>
          <w:lang w:val="en-US" w:eastAsia="zh-CN"/>
        </w:rPr>
        <w:t>5</w:t>
      </w:r>
      <w:r>
        <w:rPr>
          <w:rFonts w:hint="eastAsia" w:ascii="Times New Roman" w:hAnsi="仿宋_GB2312" w:eastAsia="仿宋_GB2312"/>
          <w:b w:val="0"/>
        </w:rPr>
        <w:t>万人。</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5294"/>
      <w:bookmarkStart w:id="134" w:name="_Toc26456"/>
      <w:bookmarkStart w:id="135" w:name="_Toc20867"/>
      <w:bookmarkStart w:id="136" w:name="_Toc19288"/>
      <w:bookmarkStart w:id="137" w:name="_Toc22132"/>
      <w:bookmarkStart w:id="138" w:name="_Toc25086"/>
      <w:bookmarkStart w:id="139" w:name="_Toc26630"/>
      <w:bookmarkStart w:id="140" w:name="_Toc12582"/>
    </w:p>
    <w:p>
      <w:pPr>
        <w:pStyle w:val="23"/>
        <w:widowControl w:val="0"/>
        <w:snapToGrid w:val="0"/>
        <w:spacing w:before="0" w:after="0" w:line="360" w:lineRule="auto"/>
        <w:textAlignment w:val="baseline"/>
        <w:rPr>
          <w:rFonts w:ascii="黑体" w:hAnsi="黑体" w:eastAsia="黑体" w:cs="仿宋_GB2312"/>
          <w:b w:val="0"/>
          <w:kern w:val="0"/>
          <w:sz w:val="28"/>
          <w:szCs w:val="28"/>
        </w:rPr>
      </w:pPr>
      <w:bookmarkStart w:id="141" w:name="_Toc27177"/>
      <w:bookmarkStart w:id="142" w:name="_Toc4447"/>
      <w:bookmarkStart w:id="143" w:name="_Toc32650"/>
      <w:bookmarkStart w:id="144" w:name="_Toc5027"/>
      <w:bookmarkStart w:id="145" w:name="_Toc13193"/>
      <w:bookmarkStart w:id="146" w:name="_Toc12122"/>
      <w:bookmarkStart w:id="147" w:name="_Toc31845"/>
      <w:bookmarkStart w:id="148" w:name="_Toc4209"/>
      <w:bookmarkStart w:id="149" w:name="_Toc26437"/>
      <w:bookmarkStart w:id="150" w:name="_Toc20455"/>
      <w:bookmarkStart w:id="151" w:name="_Toc75860065"/>
      <w:bookmarkStart w:id="152" w:name="_Toc12688"/>
      <w:bookmarkStart w:id="153" w:name="_Toc3534"/>
      <w:bookmarkStart w:id="154" w:name="_Toc30235"/>
      <w:bookmarkStart w:id="155" w:name="_Toc9156"/>
    </w:p>
    <w:p>
      <w:pPr>
        <w:rPr>
          <w:rFonts w:ascii="黑体" w:hAnsi="黑体" w:eastAsia="黑体" w:cs="仿宋_GB2312"/>
          <w:b w:val="0"/>
          <w:kern w:val="0"/>
          <w:sz w:val="28"/>
          <w:szCs w:val="28"/>
        </w:rPr>
      </w:pPr>
    </w:p>
    <w:p>
      <w:pPr>
        <w:pStyle w:val="2"/>
      </w:pPr>
    </w:p>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56" w:name="_Toc16961"/>
      <w:bookmarkStart w:id="157" w:name="_Toc1778"/>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58" w:name="_Toc5570"/>
      <w:r>
        <w:rPr>
          <w:rFonts w:hint="eastAsia" w:ascii="黑体" w:hAnsi="黑体" w:eastAsia="黑体" w:cs="仿宋_GB2312"/>
          <w:b w:val="0"/>
          <w:kern w:val="0"/>
          <w:sz w:val="28"/>
          <w:szCs w:val="28"/>
        </w:rPr>
        <w:t>专栏3  社会保险</w:t>
      </w:r>
      <w:bookmarkEnd w:id="133"/>
      <w:bookmarkEnd w:id="134"/>
      <w:bookmarkEnd w:id="135"/>
      <w:bookmarkEnd w:id="136"/>
      <w:bookmarkEnd w:id="137"/>
      <w:bookmarkEnd w:id="138"/>
      <w:bookmarkEnd w:id="141"/>
      <w:bookmarkEnd w:id="142"/>
      <w:bookmarkEnd w:id="143"/>
      <w:bookmarkEnd w:id="144"/>
      <w:bookmarkEnd w:id="145"/>
      <w:bookmarkEnd w:id="146"/>
      <w:bookmarkEnd w:id="147"/>
      <w:bookmarkEnd w:id="148"/>
      <w:bookmarkEnd w:id="149"/>
      <w:bookmarkEnd w:id="150"/>
      <w:bookmarkStart w:id="159" w:name="_Toc8553"/>
      <w:bookmarkStart w:id="160" w:name="_Toc10148"/>
      <w:bookmarkStart w:id="161" w:name="_Toc6277"/>
      <w:bookmarkStart w:id="162" w:name="_Toc8402"/>
      <w:bookmarkStart w:id="163" w:name="_Toc6938"/>
      <w:bookmarkStart w:id="164" w:name="_Toc17881"/>
      <w:bookmarkStart w:id="165" w:name="_Toc27121"/>
      <w:bookmarkStart w:id="166" w:name="_Toc959"/>
      <w:bookmarkStart w:id="167" w:name="_Toc10419"/>
      <w:bookmarkStart w:id="168" w:name="_Toc4470"/>
      <w:bookmarkStart w:id="169" w:name="_Toc29430"/>
      <w:bookmarkStart w:id="170" w:name="_Toc15953"/>
      <w:bookmarkStart w:id="171" w:name="_Toc17904"/>
      <w:bookmarkStart w:id="172" w:name="_Toc29411"/>
      <w:bookmarkStart w:id="173" w:name="_Toc10631"/>
      <w:bookmarkStart w:id="174" w:name="_Toc22028"/>
      <w:r>
        <w:rPr>
          <w:rFonts w:hint="eastAsia" w:ascii="黑体" w:hAnsi="黑体" w:eastAsia="黑体" w:cs="仿宋_GB2312"/>
          <w:b w:val="0"/>
          <w:kern w:val="0"/>
          <w:sz w:val="28"/>
          <w:szCs w:val="28"/>
        </w:rPr>
        <w:t>主要发展指标</w:t>
      </w:r>
      <w:bookmarkEnd w:id="139"/>
      <w:bookmarkEnd w:id="14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25"/>
        <w:tblW w:w="86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3"/>
        <w:gridCol w:w="4397"/>
        <w:gridCol w:w="992"/>
        <w:gridCol w:w="992"/>
        <w:gridCol w:w="12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420" w:type="dxa"/>
            <w:gridSpan w:val="2"/>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ascii="仿宋_GB2312" w:hAnsi="黑体" w:eastAsia="仿宋_GB2312" w:cs="仿宋_GB2312"/>
                <w:kern w:val="0"/>
                <w:sz w:val="24"/>
                <w:szCs w:val="24"/>
              </w:rPr>
            </w:pPr>
            <w:r>
              <w:rPr>
                <w:rFonts w:hint="eastAsia" w:ascii="仿宋_GB2312" w:hAnsi="黑体" w:eastAsia="仿宋_GB2312" w:cs="仿宋_GB2312"/>
                <w:kern w:val="0"/>
                <w:sz w:val="24"/>
                <w:szCs w:val="24"/>
              </w:rPr>
              <w:t>指  标</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sz w:val="24"/>
                <w:szCs w:val="24"/>
              </w:rPr>
              <w:t>2020年</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2025年</w:t>
            </w:r>
          </w:p>
        </w:tc>
        <w:tc>
          <w:tcPr>
            <w:tcW w:w="1221"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ascii="仿宋_GB2312" w:hAnsi="黑体" w:eastAsia="仿宋_GB2312" w:cs="仿宋_GB2312"/>
                <w:sz w:val="24"/>
                <w:szCs w:val="24"/>
              </w:rPr>
            </w:pPr>
            <w:r>
              <w:rPr>
                <w:rFonts w:hint="eastAsia" w:ascii="仿宋_GB2312" w:hAnsi="黑体" w:eastAsia="仿宋_GB2312" w:cs="仿宋_GB2312"/>
                <w:sz w:val="24"/>
                <w:szCs w:val="24"/>
              </w:rPr>
              <w:t>指标属性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420" w:type="dxa"/>
            <w:gridSpan w:val="2"/>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1.参加基本养老保险人数（万人）</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269.43</w:t>
            </w:r>
          </w:p>
        </w:tc>
        <w:tc>
          <w:tcPr>
            <w:tcW w:w="992" w:type="dxa"/>
            <w:tcBorders>
              <w:top w:val="single" w:color="auto" w:sz="2" w:space="0"/>
              <w:left w:val="single" w:color="auto" w:sz="2" w:space="0"/>
              <w:bottom w:val="single" w:color="auto" w:sz="4" w:space="0"/>
              <w:right w:val="single" w:color="auto" w:sz="2" w:space="0"/>
            </w:tcBorders>
            <w:vAlign w:val="center"/>
          </w:tcPr>
          <w:p>
            <w:pPr>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275.7</w:t>
            </w:r>
          </w:p>
        </w:tc>
        <w:tc>
          <w:tcPr>
            <w:tcW w:w="1221" w:type="dxa"/>
            <w:tcBorders>
              <w:top w:val="single" w:color="auto" w:sz="2" w:space="0"/>
              <w:left w:val="single" w:color="auto" w:sz="2" w:space="0"/>
              <w:bottom w:val="single" w:color="auto" w:sz="4" w:space="0"/>
              <w:right w:val="single" w:color="auto" w:sz="2" w:space="0"/>
            </w:tcBorders>
            <w:vAlign w:val="center"/>
          </w:tcPr>
          <w:p>
            <w:pPr>
              <w:snapToGrid w:val="0"/>
              <w:spacing w:line="360" w:lineRule="exact"/>
              <w:jc w:val="center"/>
              <w:textAlignment w:val="baseline"/>
              <w:rPr>
                <w:rFonts w:ascii="仿宋_GB2312" w:eastAsia="仿宋_GB2312"/>
                <w:kern w:val="0"/>
                <w:sz w:val="24"/>
                <w:szCs w:val="24"/>
              </w:rPr>
            </w:pPr>
            <w:r>
              <w:rPr>
                <w:rFonts w:hint="eastAsia" w:ascii="仿宋_GB2312" w:eastAsia="仿宋_GB2312"/>
                <w:kern w:val="0"/>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23" w:type="dxa"/>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2.其中</w:t>
            </w:r>
          </w:p>
        </w:tc>
        <w:tc>
          <w:tcPr>
            <w:tcW w:w="4397"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参加城镇职工基本养老保险人数（万人）</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43.47</w:t>
            </w:r>
          </w:p>
        </w:tc>
        <w:tc>
          <w:tcPr>
            <w:tcW w:w="992" w:type="dxa"/>
            <w:tcBorders>
              <w:top w:val="single" w:color="auto" w:sz="4"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48.2</w:t>
            </w:r>
          </w:p>
        </w:tc>
        <w:tc>
          <w:tcPr>
            <w:tcW w:w="1221" w:type="dxa"/>
            <w:tcBorders>
              <w:top w:val="single" w:color="auto" w:sz="4" w:space="0"/>
              <w:left w:val="single" w:color="auto" w:sz="2" w:space="0"/>
              <w:bottom w:val="single" w:color="auto" w:sz="4" w:space="0"/>
              <w:right w:val="single" w:color="auto" w:sz="2" w:space="0"/>
            </w:tcBorders>
            <w:vAlign w:val="center"/>
          </w:tcPr>
          <w:p>
            <w:pPr>
              <w:snapToGrid w:val="0"/>
              <w:spacing w:line="360" w:lineRule="exact"/>
              <w:jc w:val="center"/>
              <w:textAlignment w:val="baseline"/>
              <w:rPr>
                <w:rFonts w:ascii="仿宋_GB2312" w:eastAsia="仿宋_GB2312"/>
                <w:kern w:val="0"/>
                <w:sz w:val="24"/>
                <w:szCs w:val="24"/>
              </w:rPr>
            </w:pPr>
            <w:r>
              <w:rPr>
                <w:rFonts w:hint="eastAsia" w:ascii="仿宋_GB2312" w:eastAsia="仿宋_GB2312"/>
                <w:kern w:val="0"/>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023" w:type="dxa"/>
            <w:vMerge w:val="continue"/>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p>
        </w:tc>
        <w:tc>
          <w:tcPr>
            <w:tcW w:w="4397"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参加城乡居民基本养老保险人数（万人）</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225.96</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227.5</w:t>
            </w:r>
          </w:p>
        </w:tc>
        <w:tc>
          <w:tcPr>
            <w:tcW w:w="1221" w:type="dxa"/>
            <w:tcBorders>
              <w:top w:val="single" w:color="auto" w:sz="4" w:space="0"/>
              <w:left w:val="single" w:color="auto" w:sz="2" w:space="0"/>
              <w:bottom w:val="single" w:color="auto" w:sz="4" w:space="0"/>
              <w:right w:val="single" w:color="auto" w:sz="2" w:space="0"/>
            </w:tcBorders>
            <w:vAlign w:val="center"/>
          </w:tcPr>
          <w:p>
            <w:pPr>
              <w:snapToGrid w:val="0"/>
              <w:spacing w:line="360" w:lineRule="exact"/>
              <w:jc w:val="center"/>
              <w:textAlignment w:val="baseline"/>
              <w:rPr>
                <w:rFonts w:ascii="仿宋_GB2312" w:eastAsia="仿宋_GB2312"/>
                <w:kern w:val="0"/>
                <w:sz w:val="24"/>
                <w:szCs w:val="24"/>
              </w:rPr>
            </w:pPr>
            <w:r>
              <w:rPr>
                <w:rFonts w:hint="eastAsia" w:ascii="仿宋_GB2312" w:eastAsia="仿宋_GB2312"/>
                <w:kern w:val="0"/>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420" w:type="dxa"/>
            <w:gridSpan w:val="2"/>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3.失业保险参保人数（万人）</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21.55</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23.5</w:t>
            </w:r>
          </w:p>
        </w:tc>
        <w:tc>
          <w:tcPr>
            <w:tcW w:w="1221" w:type="dxa"/>
            <w:tcBorders>
              <w:top w:val="single" w:color="auto" w:sz="4" w:space="0"/>
              <w:left w:val="single" w:color="auto" w:sz="2" w:space="0"/>
              <w:bottom w:val="single" w:color="auto" w:sz="4" w:space="0"/>
              <w:right w:val="single" w:color="auto" w:sz="2" w:space="0"/>
            </w:tcBorders>
            <w:vAlign w:val="center"/>
          </w:tcPr>
          <w:p>
            <w:pPr>
              <w:snapToGrid w:val="0"/>
              <w:spacing w:line="360" w:lineRule="exact"/>
              <w:jc w:val="center"/>
              <w:textAlignment w:val="baseline"/>
              <w:rPr>
                <w:rFonts w:ascii="仿宋_GB2312" w:eastAsia="仿宋_GB2312"/>
                <w:sz w:val="24"/>
                <w:szCs w:val="24"/>
              </w:rPr>
            </w:pPr>
            <w:r>
              <w:rPr>
                <w:rFonts w:hint="eastAsia" w:ascii="仿宋_GB2312" w:eastAsia="仿宋_GB2312"/>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420" w:type="dxa"/>
            <w:gridSpan w:val="2"/>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4.工伤保险参保人数（万人）</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kern w:val="0"/>
                <w:sz w:val="24"/>
                <w:szCs w:val="24"/>
              </w:rPr>
            </w:pPr>
            <w:r>
              <w:rPr>
                <w:rFonts w:eastAsia="仿宋_GB2312"/>
                <w:kern w:val="0"/>
                <w:sz w:val="24"/>
                <w:szCs w:val="24"/>
              </w:rPr>
              <w:t>34.24</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hint="eastAsia" w:eastAsia="仿宋_GB2312"/>
                <w:kern w:val="0"/>
                <w:sz w:val="24"/>
                <w:szCs w:val="24"/>
                <w:lang w:eastAsia="zh-CN"/>
              </w:rPr>
            </w:pPr>
            <w:r>
              <w:rPr>
                <w:rFonts w:eastAsia="仿宋_GB2312"/>
                <w:kern w:val="0"/>
                <w:sz w:val="24"/>
                <w:szCs w:val="24"/>
              </w:rPr>
              <w:t>3</w:t>
            </w:r>
            <w:r>
              <w:rPr>
                <w:rFonts w:hint="eastAsia" w:eastAsia="仿宋_GB2312"/>
                <w:kern w:val="0"/>
                <w:sz w:val="24"/>
                <w:szCs w:val="24"/>
                <w:lang w:val="en-US" w:eastAsia="zh-CN"/>
              </w:rPr>
              <w:t>5</w:t>
            </w:r>
          </w:p>
        </w:tc>
        <w:tc>
          <w:tcPr>
            <w:tcW w:w="1221" w:type="dxa"/>
            <w:tcBorders>
              <w:top w:val="single" w:color="auto" w:sz="4"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ascii="仿宋_GB2312" w:eastAsia="仿宋_GB2312"/>
                <w:sz w:val="24"/>
                <w:szCs w:val="24"/>
              </w:rPr>
            </w:pPr>
            <w:r>
              <w:rPr>
                <w:rFonts w:hint="eastAsia" w:ascii="仿宋_GB2312" w:eastAsia="仿宋_GB2312"/>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420" w:type="dxa"/>
            <w:gridSpan w:val="2"/>
            <w:tcBorders>
              <w:top w:val="single" w:color="auto" w:sz="2" w:space="0"/>
              <w:left w:val="single" w:color="auto" w:sz="2" w:space="0"/>
              <w:bottom w:val="single" w:color="auto" w:sz="2" w:space="0"/>
              <w:right w:val="single" w:color="auto" w:sz="2" w:space="0"/>
            </w:tcBorders>
            <w:vAlign w:val="center"/>
          </w:tcPr>
          <w:p>
            <w:pPr>
              <w:snapToGrid w:val="0"/>
              <w:spacing w:line="360" w:lineRule="exact"/>
              <w:textAlignment w:val="baseline"/>
              <w:rPr>
                <w:rFonts w:eastAsia="仿宋_GB2312"/>
                <w:kern w:val="0"/>
                <w:sz w:val="24"/>
                <w:szCs w:val="24"/>
              </w:rPr>
            </w:pPr>
            <w:r>
              <w:rPr>
                <w:rFonts w:eastAsia="仿宋_GB2312"/>
                <w:kern w:val="0"/>
                <w:sz w:val="24"/>
                <w:szCs w:val="24"/>
              </w:rPr>
              <w:t>5.基本养老保险参保率（%）</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hint="default" w:eastAsia="仿宋_GB2312"/>
                <w:color w:val="auto"/>
                <w:kern w:val="0"/>
                <w:sz w:val="24"/>
                <w:szCs w:val="24"/>
                <w:highlight w:val="none"/>
                <w:lang w:val="en-US" w:eastAsia="zh-CN"/>
              </w:rPr>
            </w:pPr>
            <w:r>
              <w:rPr>
                <w:rFonts w:eastAsia="仿宋_GB2312"/>
                <w:color w:val="auto"/>
                <w:kern w:val="0"/>
                <w:sz w:val="24"/>
                <w:szCs w:val="24"/>
                <w:highlight w:val="none"/>
              </w:rPr>
              <w:t>9</w:t>
            </w:r>
            <w:r>
              <w:rPr>
                <w:rFonts w:hint="eastAsia" w:eastAsia="仿宋_GB2312"/>
                <w:color w:val="auto"/>
                <w:kern w:val="0"/>
                <w:sz w:val="24"/>
                <w:szCs w:val="24"/>
                <w:highlight w:val="none"/>
                <w:lang w:val="en-US" w:eastAsia="zh-CN"/>
              </w:rPr>
              <w:t>6.4</w:t>
            </w:r>
          </w:p>
        </w:tc>
        <w:tc>
          <w:tcPr>
            <w:tcW w:w="992"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hint="eastAsia" w:eastAsia="仿宋_GB2312"/>
                <w:color w:val="auto"/>
                <w:kern w:val="0"/>
                <w:sz w:val="24"/>
                <w:szCs w:val="24"/>
                <w:highlight w:val="none"/>
                <w:lang w:eastAsia="zh-CN"/>
              </w:rPr>
            </w:pPr>
            <w:r>
              <w:rPr>
                <w:rFonts w:hint="eastAsia" w:eastAsia="仿宋_GB2312"/>
                <w:color w:val="auto"/>
                <w:kern w:val="0"/>
                <w:sz w:val="24"/>
                <w:szCs w:val="24"/>
                <w:highlight w:val="none"/>
                <w:lang w:eastAsia="zh-CN"/>
              </w:rPr>
              <w:t>≥</w:t>
            </w:r>
            <w:r>
              <w:rPr>
                <w:rFonts w:eastAsia="仿宋_GB2312"/>
                <w:color w:val="auto"/>
                <w:kern w:val="0"/>
                <w:sz w:val="24"/>
                <w:szCs w:val="24"/>
                <w:highlight w:val="none"/>
              </w:rPr>
              <w:t>95</w:t>
            </w:r>
          </w:p>
        </w:tc>
        <w:tc>
          <w:tcPr>
            <w:tcW w:w="1221"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ascii="仿宋_GB2312" w:eastAsia="仿宋_GB2312"/>
                <w:sz w:val="24"/>
                <w:szCs w:val="24"/>
              </w:rPr>
            </w:pPr>
            <w:r>
              <w:rPr>
                <w:rFonts w:hint="eastAsia" w:ascii="仿宋_GB2312" w:eastAsia="仿宋_GB2312"/>
                <w:sz w:val="24"/>
                <w:szCs w:val="24"/>
              </w:rPr>
              <w:t>预期性</w:t>
            </w:r>
          </w:p>
        </w:tc>
      </w:tr>
    </w:tbl>
    <w:p>
      <w:pPr>
        <w:snapToGrid w:val="0"/>
        <w:spacing w:line="360" w:lineRule="auto"/>
        <w:ind w:firstLine="640" w:firstLineChars="200"/>
        <w:textAlignment w:val="baseline"/>
        <w:rPr>
          <w:rFonts w:ascii="楷体_GB2312" w:hAnsi="楷体_GB2312" w:eastAsia="楷体_GB2312" w:cs="楷体_GB2312"/>
          <w:bCs/>
          <w:sz w:val="32"/>
          <w:szCs w:val="32"/>
        </w:rPr>
      </w:pP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——人才队伍活力进一步增强。</w:t>
      </w:r>
      <w:r>
        <w:rPr>
          <w:rFonts w:hint="eastAsia" w:ascii="仿宋_GB2312" w:hAnsi="仿宋_GB2312" w:eastAsia="仿宋_GB2312" w:cs="仿宋_GB2312"/>
          <w:sz w:val="32"/>
          <w:szCs w:val="32"/>
        </w:rPr>
        <w:t>坚持以服务经济社会发展战略为主线，持续深化事业单位人事制度改革。以调动各类人才活力和服务保障本地产业发展为核心，深化职称制度改革，将从事新职业和自由职业的专业技术人才纳入职称服务范围，探索多元化人才评价手段，规范职业资格准入和评价管理，推进职业资格与职称制度有效衔接。健全人才资源合理有效配置的流动机制。提升技能人才能力，创新技能人才培养方式，推进建设多元化技能人才评价体系，健全终身职业技能培训制度，全面开展专业技术人才能力素质提升培训。推动人才发展体制机制落地</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着力破除制约人才发展的体制机制障碍，充分激发各类人才创新创业创造活力。落实事业单位工作人员基本工资标准正常调整机制。强化绩效工资对人才的激励，建立事业单位高层次人才分配激励机制，建立完善符合事业单位特点的工资收入分配制度。健全完善体制机制，建立人力资源信息库，发挥公共人才服务机构的主导作用。积极推动州内经营性人力资源服务机构的发展，培育一批具有市场竞争力的经</w:t>
      </w:r>
      <w:r>
        <w:rPr>
          <w:rFonts w:hAnsi="仿宋_GB2312" w:eastAsia="仿宋_GB2312"/>
          <w:sz w:val="32"/>
          <w:szCs w:val="32"/>
        </w:rPr>
        <w:t>营性人力资源服务机构。</w:t>
      </w:r>
      <w:r>
        <w:rPr>
          <w:rFonts w:hint="eastAsia" w:ascii="仿宋_GB2312" w:hAnsi="仿宋_GB2312" w:eastAsia="仿宋_GB2312"/>
          <w:sz w:val="32"/>
          <w:szCs w:val="32"/>
        </w:rPr>
        <w:t>到</w:t>
      </w:r>
      <w:r>
        <w:rPr>
          <w:rFonts w:hint="eastAsia" w:ascii="仿宋_GB2312" w:eastAsia="仿宋_GB2312"/>
          <w:sz w:val="32"/>
          <w:szCs w:val="32"/>
        </w:rPr>
        <w:t>“</w:t>
      </w:r>
      <w:r>
        <w:rPr>
          <w:rFonts w:hint="eastAsia" w:ascii="仿宋_GB2312" w:hAnsi="仿宋_GB2312" w:eastAsia="仿宋_GB2312"/>
          <w:sz w:val="32"/>
          <w:szCs w:val="32"/>
        </w:rPr>
        <w:t>十四五</w:t>
      </w:r>
      <w:r>
        <w:rPr>
          <w:rFonts w:hint="eastAsia" w:ascii="仿宋_GB2312" w:eastAsia="仿宋_GB2312"/>
          <w:sz w:val="32"/>
          <w:szCs w:val="32"/>
        </w:rPr>
        <w:t>”</w:t>
      </w:r>
      <w:r>
        <w:rPr>
          <w:rFonts w:hint="eastAsia" w:ascii="仿宋_GB2312" w:hAnsi="仿宋_GB2312" w:eastAsia="仿宋_GB2312"/>
          <w:sz w:val="32"/>
          <w:szCs w:val="32"/>
        </w:rPr>
        <w:t>期末，</w:t>
      </w:r>
      <w:r>
        <w:rPr>
          <w:rFonts w:hAnsi="仿宋_GB2312" w:eastAsia="仿宋_GB2312"/>
          <w:sz w:val="32"/>
          <w:szCs w:val="32"/>
        </w:rPr>
        <w:t>全州人才资源总量达到</w:t>
      </w:r>
      <w:r>
        <w:rPr>
          <w:rFonts w:eastAsia="仿宋_GB2312"/>
          <w:sz w:val="32"/>
          <w:szCs w:val="32"/>
        </w:rPr>
        <w:t>7</w:t>
      </w:r>
      <w:r>
        <w:rPr>
          <w:rFonts w:hint="eastAsia" w:eastAsia="仿宋_GB2312"/>
          <w:sz w:val="32"/>
          <w:szCs w:val="32"/>
        </w:rPr>
        <w:t>8</w:t>
      </w:r>
      <w:r>
        <w:rPr>
          <w:rFonts w:eastAsia="仿宋_GB2312"/>
          <w:sz w:val="32"/>
          <w:szCs w:val="32"/>
        </w:rPr>
        <w:t>万</w:t>
      </w:r>
      <w:r>
        <w:rPr>
          <w:rFonts w:hint="eastAsia" w:ascii="仿宋_GB2312" w:hAnsi="仿宋_GB2312" w:eastAsia="仿宋_GB2312" w:cs="仿宋_GB2312"/>
          <w:sz w:val="32"/>
          <w:szCs w:val="32"/>
        </w:rPr>
        <w:t>人。</w:t>
      </w:r>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75" w:name="_Toc5303"/>
      <w:r>
        <w:rPr>
          <w:rFonts w:hint="eastAsia" w:ascii="黑体" w:hAnsi="黑体" w:eastAsia="黑体" w:cs="仿宋_GB2312"/>
          <w:b w:val="0"/>
          <w:kern w:val="0"/>
          <w:sz w:val="28"/>
          <w:szCs w:val="28"/>
        </w:rPr>
        <w:t>专栏4  人才主要发展指标</w:t>
      </w:r>
      <w:bookmarkEnd w:id="175"/>
    </w:p>
    <w:tbl>
      <w:tblPr>
        <w:tblStyle w:val="25"/>
        <w:tblW w:w="90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69"/>
        <w:gridCol w:w="1565"/>
        <w:gridCol w:w="1409"/>
        <w:gridCol w:w="16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ascii="仿宋_GB2312" w:hAnsi="黑体" w:eastAsia="仿宋_GB2312" w:cs="仿宋_GB2312"/>
                <w:kern w:val="0"/>
                <w:sz w:val="24"/>
                <w:szCs w:val="24"/>
              </w:rPr>
            </w:pPr>
            <w:r>
              <w:rPr>
                <w:rFonts w:hint="eastAsia" w:ascii="仿宋_GB2312" w:hAnsi="黑体" w:eastAsia="仿宋_GB2312" w:cs="仿宋_GB2312"/>
                <w:kern w:val="0"/>
                <w:sz w:val="24"/>
                <w:szCs w:val="24"/>
              </w:rPr>
              <w:t>指 标</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2020年</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2025年</w:t>
            </w:r>
          </w:p>
        </w:tc>
        <w:tc>
          <w:tcPr>
            <w:tcW w:w="1611"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ascii="仿宋_GB2312" w:hAnsi="黑体" w:eastAsia="仿宋_GB2312"/>
                <w:kern w:val="0"/>
                <w:sz w:val="24"/>
                <w:szCs w:val="24"/>
              </w:rPr>
            </w:pPr>
            <w:r>
              <w:rPr>
                <w:rFonts w:hint="eastAsia" w:ascii="仿宋_GB2312" w:hAnsi="黑体" w:eastAsia="仿宋_GB2312"/>
                <w:kern w:val="0"/>
                <w:sz w:val="24"/>
                <w:szCs w:val="24"/>
              </w:rPr>
              <w:t>指标属性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eastAsia="仿宋_GB2312"/>
                <w:kern w:val="0"/>
                <w:sz w:val="24"/>
                <w:szCs w:val="24"/>
              </w:rPr>
              <w:t>1.人才资源总量（万人）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hint="default" w:eastAsia="仿宋_GB2312"/>
                <w:color w:val="auto"/>
                <w:kern w:val="0"/>
                <w:sz w:val="24"/>
                <w:szCs w:val="24"/>
                <w:lang w:val="en-US" w:eastAsia="zh-CN"/>
              </w:rPr>
            </w:pPr>
            <w:r>
              <w:rPr>
                <w:rFonts w:hint="eastAsia" w:eastAsia="仿宋_GB2312"/>
                <w:color w:val="auto"/>
                <w:kern w:val="0"/>
                <w:sz w:val="24"/>
                <w:szCs w:val="24"/>
              </w:rPr>
              <w:t>6</w:t>
            </w:r>
            <w:r>
              <w:rPr>
                <w:rFonts w:hint="eastAsia" w:eastAsia="仿宋_GB2312"/>
                <w:color w:val="auto"/>
                <w:kern w:val="0"/>
                <w:sz w:val="24"/>
                <w:szCs w:val="24"/>
                <w:lang w:val="en-US" w:eastAsia="zh-CN"/>
              </w:rPr>
              <w:t>2</w:t>
            </w:r>
            <w:r>
              <w:rPr>
                <w:rFonts w:hint="eastAsia" w:eastAsia="仿宋_GB2312"/>
                <w:color w:val="auto"/>
                <w:kern w:val="0"/>
                <w:sz w:val="24"/>
                <w:szCs w:val="24"/>
              </w:rPr>
              <w:t>.</w:t>
            </w:r>
            <w:r>
              <w:rPr>
                <w:rFonts w:hint="eastAsia" w:eastAsia="仿宋_GB2312"/>
                <w:color w:val="auto"/>
                <w:kern w:val="0"/>
                <w:sz w:val="24"/>
                <w:szCs w:val="24"/>
                <w:lang w:val="en-US" w:eastAsia="zh-CN"/>
              </w:rPr>
              <w:t>88</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hint="eastAsia" w:eastAsia="仿宋_GB2312"/>
                <w:color w:val="auto"/>
                <w:kern w:val="0"/>
                <w:sz w:val="24"/>
                <w:szCs w:val="24"/>
              </w:rPr>
              <w:t>78</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kern w:val="0"/>
                <w:sz w:val="24"/>
                <w:szCs w:val="24"/>
              </w:rPr>
            </w:pPr>
            <w:r>
              <w:rPr>
                <w:rFonts w:hint="eastAsia" w:ascii="仿宋_GB2312" w:hAnsi="宋体"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eastAsia="仿宋_GB2312"/>
                <w:kern w:val="0"/>
                <w:sz w:val="24"/>
                <w:szCs w:val="24"/>
              </w:rPr>
              <w:t>2.专业技术人才（万人）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18.02</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22</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kern w:val="0"/>
                <w:sz w:val="24"/>
                <w:szCs w:val="24"/>
              </w:rPr>
            </w:pPr>
            <w:r>
              <w:rPr>
                <w:rFonts w:hint="eastAsia" w:ascii="仿宋_GB2312" w:hAnsi="宋体"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eastAsia="仿宋_GB2312"/>
                <w:kern w:val="0"/>
                <w:sz w:val="24"/>
                <w:szCs w:val="24"/>
              </w:rPr>
              <w:t>3.技能人才（万人）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2</w:t>
            </w:r>
            <w:r>
              <w:rPr>
                <w:rFonts w:hint="eastAsia" w:eastAsia="仿宋_GB2312"/>
                <w:color w:val="auto"/>
                <w:kern w:val="0"/>
                <w:sz w:val="24"/>
                <w:szCs w:val="24"/>
              </w:rPr>
              <w:t>4.83</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hint="eastAsia" w:eastAsia="仿宋_GB2312"/>
                <w:color w:val="auto"/>
                <w:kern w:val="0"/>
                <w:sz w:val="24"/>
                <w:szCs w:val="24"/>
              </w:rPr>
              <w:t>31</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kern w:val="0"/>
                <w:sz w:val="24"/>
                <w:szCs w:val="24"/>
              </w:rPr>
            </w:pPr>
            <w:r>
              <w:rPr>
                <w:rFonts w:hint="eastAsia" w:ascii="仿宋_GB2312" w:hAnsi="宋体"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4</w:t>
            </w:r>
            <w:r>
              <w:rPr>
                <w:rFonts w:eastAsia="仿宋_GB2312"/>
                <w:kern w:val="0"/>
                <w:sz w:val="24"/>
                <w:szCs w:val="24"/>
              </w:rPr>
              <w:t>.企业经营管理人才（万人）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9.01</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11.</w:t>
            </w:r>
            <w:r>
              <w:rPr>
                <w:rFonts w:hint="eastAsia" w:eastAsia="仿宋_GB2312"/>
                <w:color w:val="auto"/>
                <w:kern w:val="0"/>
                <w:sz w:val="24"/>
                <w:szCs w:val="24"/>
              </w:rPr>
              <w:t>2</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kern w:val="0"/>
                <w:sz w:val="24"/>
                <w:szCs w:val="24"/>
              </w:rPr>
            </w:pPr>
            <w:r>
              <w:rPr>
                <w:rFonts w:hint="eastAsia" w:ascii="仿宋_GB2312" w:hAnsi="宋体"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5</w:t>
            </w:r>
            <w:r>
              <w:rPr>
                <w:rFonts w:eastAsia="仿宋_GB2312"/>
                <w:kern w:val="0"/>
                <w:sz w:val="24"/>
                <w:szCs w:val="24"/>
              </w:rPr>
              <w:t>.农村实用人才（万人）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9.03</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11.</w:t>
            </w:r>
            <w:r>
              <w:rPr>
                <w:rFonts w:hint="eastAsia" w:eastAsia="仿宋_GB2312"/>
                <w:color w:val="auto"/>
                <w:kern w:val="0"/>
                <w:sz w:val="24"/>
                <w:szCs w:val="24"/>
              </w:rPr>
              <w:t>3</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kern w:val="0"/>
                <w:sz w:val="24"/>
                <w:szCs w:val="24"/>
              </w:rPr>
            </w:pPr>
            <w:r>
              <w:rPr>
                <w:rFonts w:hint="eastAsia" w:ascii="仿宋_GB2312" w:hAnsi="宋体"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46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6</w:t>
            </w:r>
            <w:r>
              <w:rPr>
                <w:rFonts w:eastAsia="仿宋_GB2312"/>
                <w:kern w:val="0"/>
                <w:sz w:val="24"/>
                <w:szCs w:val="24"/>
              </w:rPr>
              <w:t>.其他人才（含党政人才）（万人）</w:t>
            </w:r>
          </w:p>
        </w:tc>
        <w:tc>
          <w:tcPr>
            <w:tcW w:w="15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1.99</w:t>
            </w:r>
          </w:p>
        </w:tc>
        <w:tc>
          <w:tcPr>
            <w:tcW w:w="140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2.</w:t>
            </w:r>
            <w:r>
              <w:rPr>
                <w:rFonts w:hint="eastAsia" w:eastAsia="仿宋_GB2312"/>
                <w:color w:val="auto"/>
                <w:kern w:val="0"/>
                <w:sz w:val="24"/>
                <w:szCs w:val="24"/>
              </w:rPr>
              <w:t>5</w:t>
            </w:r>
          </w:p>
        </w:tc>
        <w:tc>
          <w:tcPr>
            <w:tcW w:w="1611" w:type="dxa"/>
            <w:tcBorders>
              <w:top w:val="single" w:color="auto" w:sz="2" w:space="0"/>
              <w:left w:val="single" w:color="auto" w:sz="2" w:space="0"/>
              <w:bottom w:val="single" w:color="auto" w:sz="2" w:space="0"/>
              <w:right w:val="single" w:color="auto" w:sz="2" w:space="0"/>
            </w:tcBorders>
          </w:tcPr>
          <w:p>
            <w:pPr>
              <w:widowControl w:val="0"/>
              <w:snapToGrid w:val="0"/>
              <w:spacing w:line="360" w:lineRule="exact"/>
              <w:jc w:val="center"/>
              <w:textAlignment w:val="baseline"/>
              <w:rPr>
                <w:rFonts w:ascii="仿宋_GB2312" w:eastAsia="仿宋_GB2312"/>
                <w:b/>
                <w:kern w:val="0"/>
                <w:sz w:val="24"/>
                <w:szCs w:val="24"/>
              </w:rPr>
            </w:pPr>
            <w:r>
              <w:rPr>
                <w:rFonts w:hint="eastAsia" w:ascii="仿宋_GB2312" w:hAnsi="宋体" w:eastAsia="仿宋_GB2312"/>
                <w:kern w:val="0"/>
                <w:sz w:val="24"/>
                <w:szCs w:val="24"/>
              </w:rPr>
              <w:t>预期性</w:t>
            </w:r>
          </w:p>
        </w:tc>
      </w:tr>
    </w:tbl>
    <w:p>
      <w:pPr>
        <w:snapToGrid w:val="0"/>
        <w:spacing w:line="360" w:lineRule="auto"/>
        <w:ind w:firstLine="640" w:firstLineChars="200"/>
        <w:textAlignment w:val="baseline"/>
        <w:rPr>
          <w:rFonts w:ascii="楷体_GB2312" w:hAnsi="楷体_GB2312" w:eastAsia="楷体_GB2312" w:cs="楷体_GB2312"/>
          <w:sz w:val="32"/>
          <w:szCs w:val="32"/>
        </w:rPr>
      </w:pP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——劳动关系更加和谐稳定。</w:t>
      </w:r>
      <w:r>
        <w:rPr>
          <w:rFonts w:hint="eastAsia" w:ascii="仿宋_GB2312" w:hAnsi="仿宋_GB2312" w:eastAsia="仿宋_GB2312" w:cs="仿宋_GB2312"/>
          <w:sz w:val="32"/>
          <w:szCs w:val="32"/>
        </w:rPr>
        <w:t>不断健全州县两级劳动关系协调机制，建设劳动关系协调员队伍、打造金牌协调劳动关系社会组织和金牌劳动人事争议调解组织，</w:t>
      </w:r>
      <w:r>
        <w:rPr>
          <w:rFonts w:hint="eastAsia" w:eastAsia="仿宋_GB2312"/>
          <w:bCs/>
          <w:sz w:val="32"/>
          <w:szCs w:val="32"/>
        </w:rPr>
        <w:t>依法保障劳动者待遇和权益，有效预防和化解劳动争议纠纷。</w:t>
      </w:r>
      <w:r>
        <w:rPr>
          <w:rFonts w:hint="eastAsia" w:eastAsia="仿宋_GB2312"/>
          <w:sz w:val="32"/>
          <w:szCs w:val="32"/>
        </w:rPr>
        <w:t>加强和谐劳动关系建设，</w:t>
      </w:r>
      <w:r>
        <w:rPr>
          <w:rFonts w:hint="eastAsia" w:ascii="仿宋_GB2312" w:hAnsi="仿宋_GB2312" w:eastAsia="仿宋_GB2312" w:cs="仿宋_GB2312"/>
          <w:sz w:val="32"/>
          <w:szCs w:val="32"/>
        </w:rPr>
        <w:t>积极落实国家政策, 强化劳动保障监察执法和服务，保障企业和职工合法权益,促进劳动关系更加和谐稳定。加强基层劳动争议预防调解，</w:t>
      </w:r>
      <w:r>
        <w:rPr>
          <w:rFonts w:hint="eastAsia" w:eastAsia="仿宋_GB2312"/>
          <w:sz w:val="32"/>
          <w:szCs w:val="32"/>
        </w:rPr>
        <w:t>推进纠纷就近就地多元化解，</w:t>
      </w:r>
      <w:r>
        <w:rPr>
          <w:rFonts w:hint="eastAsia" w:ascii="仿宋_GB2312" w:hAnsi="仿宋_GB2312" w:eastAsia="仿宋_GB2312" w:cs="仿宋_GB2312"/>
          <w:sz w:val="32"/>
          <w:szCs w:val="32"/>
        </w:rPr>
        <w:t>从源头上及时化解劳动争议，</w:t>
      </w:r>
      <w:r>
        <w:rPr>
          <w:rFonts w:hint="eastAsia" w:eastAsia="仿宋_GB2312"/>
          <w:sz w:val="32"/>
          <w:szCs w:val="32"/>
        </w:rPr>
        <w:t>更多劳动人事争议终结在调解仲裁阶段</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仲裁服务功能提质转型，拓展办案思路，夯实预防为主理念，完善裁审沟通协调机制。着力强化全社会自觉遵守劳动保障法律法规意识。线上线下两手同抓并举，开创</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仲裁网络化、信息化新局面。</w:t>
      </w:r>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76" w:name="_Toc30801"/>
      <w:r>
        <w:rPr>
          <w:rFonts w:hint="eastAsia" w:ascii="黑体" w:hAnsi="黑体" w:eastAsia="黑体" w:cs="仿宋_GB2312"/>
          <w:b w:val="0"/>
          <w:kern w:val="0"/>
          <w:sz w:val="28"/>
          <w:szCs w:val="28"/>
        </w:rPr>
        <w:t>专栏5</w:t>
      </w:r>
      <w:r>
        <w:rPr>
          <w:rFonts w:hint="eastAsia" w:ascii="黑体" w:hAnsi="黑体" w:eastAsia="黑体" w:cs="仿宋_GB2312"/>
          <w:b w:val="0"/>
          <w:kern w:val="0"/>
          <w:sz w:val="28"/>
          <w:szCs w:val="28"/>
          <w:lang w:val="en-US" w:eastAsia="zh-CN"/>
        </w:rPr>
        <w:t xml:space="preserve"> </w:t>
      </w:r>
      <w:r>
        <w:rPr>
          <w:rFonts w:hint="eastAsia" w:ascii="黑体" w:hAnsi="黑体" w:eastAsia="黑体" w:cs="仿宋_GB2312"/>
          <w:b w:val="0"/>
          <w:kern w:val="0"/>
          <w:sz w:val="28"/>
          <w:szCs w:val="28"/>
        </w:rPr>
        <w:t>劳动关系主要发展指标</w:t>
      </w:r>
      <w:bookmarkEnd w:id="176"/>
    </w:p>
    <w:tbl>
      <w:tblPr>
        <w:tblStyle w:val="25"/>
        <w:tblW w:w="8631" w:type="dxa"/>
        <w:tblInd w:w="26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279"/>
        <w:gridCol w:w="1110"/>
        <w:gridCol w:w="1065"/>
        <w:gridCol w:w="11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27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指标</w:t>
            </w:r>
          </w:p>
        </w:tc>
        <w:tc>
          <w:tcPr>
            <w:tcW w:w="1110"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2020年</w:t>
            </w:r>
          </w:p>
        </w:tc>
        <w:tc>
          <w:tcPr>
            <w:tcW w:w="10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2025年</w:t>
            </w:r>
          </w:p>
        </w:tc>
        <w:tc>
          <w:tcPr>
            <w:tcW w:w="117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sz w:val="24"/>
                <w:szCs w:val="24"/>
              </w:rPr>
            </w:pPr>
            <w:r>
              <w:rPr>
                <w:rFonts w:eastAsia="仿宋_GB2312"/>
                <w:bCs/>
                <w:sz w:val="24"/>
                <w:szCs w:val="24"/>
              </w:rPr>
              <w:t>指标属性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27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eastAsia="仿宋_GB2312"/>
                <w:kern w:val="0"/>
                <w:sz w:val="24"/>
                <w:szCs w:val="24"/>
              </w:rPr>
              <w:t>1.规模以上企业劳动合同签订率（%）</w:t>
            </w:r>
          </w:p>
        </w:tc>
        <w:tc>
          <w:tcPr>
            <w:tcW w:w="1110"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95.0</w:t>
            </w:r>
          </w:p>
        </w:tc>
        <w:tc>
          <w:tcPr>
            <w:tcW w:w="10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≥95.0</w:t>
            </w:r>
          </w:p>
        </w:tc>
        <w:tc>
          <w:tcPr>
            <w:tcW w:w="117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27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2</w:t>
            </w:r>
            <w:r>
              <w:rPr>
                <w:rFonts w:eastAsia="仿宋_GB2312"/>
                <w:kern w:val="0"/>
                <w:sz w:val="24"/>
                <w:szCs w:val="24"/>
              </w:rPr>
              <w:t>.劳动人事仲裁调解成功率（%）</w:t>
            </w:r>
          </w:p>
        </w:tc>
        <w:tc>
          <w:tcPr>
            <w:tcW w:w="1110"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70.5</w:t>
            </w:r>
          </w:p>
        </w:tc>
        <w:tc>
          <w:tcPr>
            <w:tcW w:w="10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≥60.0</w:t>
            </w:r>
          </w:p>
        </w:tc>
        <w:tc>
          <w:tcPr>
            <w:tcW w:w="117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27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3</w:t>
            </w:r>
            <w:r>
              <w:rPr>
                <w:rFonts w:eastAsia="仿宋_GB2312"/>
                <w:kern w:val="0"/>
                <w:sz w:val="24"/>
                <w:szCs w:val="24"/>
              </w:rPr>
              <w:t>.劳动人事争议仲裁结案率（%）</w:t>
            </w:r>
          </w:p>
        </w:tc>
        <w:tc>
          <w:tcPr>
            <w:tcW w:w="1110"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95</w:t>
            </w:r>
            <w:r>
              <w:rPr>
                <w:rFonts w:hint="eastAsia" w:eastAsia="仿宋_GB2312"/>
                <w:kern w:val="0"/>
                <w:sz w:val="24"/>
                <w:szCs w:val="24"/>
              </w:rPr>
              <w:t>.88</w:t>
            </w:r>
          </w:p>
        </w:tc>
        <w:tc>
          <w:tcPr>
            <w:tcW w:w="10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≥90.0</w:t>
            </w:r>
          </w:p>
        </w:tc>
        <w:tc>
          <w:tcPr>
            <w:tcW w:w="117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5279"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hint="eastAsia" w:eastAsia="仿宋_GB2312"/>
                <w:kern w:val="0"/>
                <w:sz w:val="24"/>
                <w:szCs w:val="24"/>
              </w:rPr>
              <w:t>4</w:t>
            </w:r>
            <w:r>
              <w:rPr>
                <w:rFonts w:eastAsia="仿宋_GB2312"/>
                <w:kern w:val="0"/>
                <w:sz w:val="24"/>
                <w:szCs w:val="24"/>
              </w:rPr>
              <w:t>.劳动保障监察举报投诉案件时效内结案率（%）</w:t>
            </w:r>
          </w:p>
        </w:tc>
        <w:tc>
          <w:tcPr>
            <w:tcW w:w="1110"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100</w:t>
            </w:r>
          </w:p>
        </w:tc>
        <w:tc>
          <w:tcPr>
            <w:tcW w:w="1065"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100</w:t>
            </w:r>
          </w:p>
        </w:tc>
        <w:tc>
          <w:tcPr>
            <w:tcW w:w="117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kern w:val="0"/>
                <w:sz w:val="24"/>
                <w:szCs w:val="24"/>
              </w:rPr>
            </w:pPr>
            <w:r>
              <w:rPr>
                <w:rFonts w:eastAsia="仿宋_GB2312"/>
                <w:kern w:val="0"/>
                <w:sz w:val="24"/>
                <w:szCs w:val="24"/>
              </w:rPr>
              <w:t>预期性</w:t>
            </w:r>
          </w:p>
        </w:tc>
      </w:tr>
    </w:tbl>
    <w:p>
      <w:pPr>
        <w:widowControl w:val="0"/>
        <w:snapToGrid w:val="0"/>
        <w:spacing w:line="360" w:lineRule="auto"/>
        <w:textAlignment w:val="baseline"/>
        <w:rPr>
          <w:rFonts w:ascii="楷体_GB2312" w:hAnsi="楷体_GB2312" w:eastAsia="楷体_GB2312" w:cs="楷体_GB2312"/>
          <w:sz w:val="32"/>
          <w:szCs w:val="32"/>
        </w:rPr>
      </w:pP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——公共服务能力和质量明显提高。</w:t>
      </w:r>
      <w:r>
        <w:rPr>
          <w:rFonts w:hint="eastAsia" w:ascii="仿宋_GB2312" w:hAnsi="仿宋_GB2312" w:eastAsia="仿宋_GB2312" w:cs="仿宋_GB2312"/>
          <w:sz w:val="32"/>
          <w:szCs w:val="32"/>
        </w:rPr>
        <w:t>推进“人社服务快办行动”，优化各项服务事项，借助信息化平台，打造人社服务打包办、提速办、简便办、全网办。打造“智慧人社”服务品牌，加大社会保障卡“一卡通”服务线上线下应用，加载更多人社服务功能。强化人社公共服务平台建设，补齐基层公共服务短板，推动“服务下沉、管理上移”，切实增强基层公共服务能力，持续深化“放管服”改革，提升基本公共服务均等化、标准化、信息化水平，更好地为群众提供优质高效、暖心便捷的基本公共服务。</w:t>
      </w:r>
      <w:bookmarkStart w:id="177" w:name="_Toc7775"/>
      <w:bookmarkStart w:id="178" w:name="_Toc2236"/>
      <w:bookmarkStart w:id="179" w:name="_Toc8825"/>
      <w:bookmarkStart w:id="180" w:name="_Toc21810"/>
      <w:bookmarkStart w:id="181" w:name="_Toc18918"/>
      <w:bookmarkStart w:id="182" w:name="_Toc31430"/>
      <w:bookmarkStart w:id="183" w:name="_Toc7365"/>
      <w:bookmarkStart w:id="184" w:name="_Toc4223"/>
      <w:bookmarkStart w:id="185" w:name="_Toc16907"/>
      <w:bookmarkStart w:id="186" w:name="_Toc11632"/>
      <w:bookmarkStart w:id="187" w:name="_Toc6602"/>
    </w:p>
    <w:p>
      <w:pPr>
        <w:pStyle w:val="23"/>
        <w:widowControl w:val="0"/>
        <w:snapToGrid w:val="0"/>
        <w:spacing w:before="0" w:after="0" w:line="360" w:lineRule="auto"/>
        <w:textAlignment w:val="baseline"/>
        <w:rPr>
          <w:rFonts w:hint="eastAsia" w:ascii="黑体" w:hAnsi="黑体" w:eastAsia="黑体" w:cs="仿宋_GB2312"/>
          <w:b w:val="0"/>
          <w:kern w:val="0"/>
          <w:sz w:val="28"/>
          <w:szCs w:val="28"/>
        </w:rPr>
      </w:pPr>
      <w:bookmarkStart w:id="188" w:name="_Toc20803"/>
      <w:bookmarkStart w:id="189" w:name="_Toc13125"/>
      <w:bookmarkStart w:id="190" w:name="_Toc10256"/>
      <w:bookmarkStart w:id="191" w:name="_Toc24215"/>
      <w:bookmarkStart w:id="192" w:name="_Toc17657"/>
      <w:bookmarkStart w:id="193" w:name="_Toc2410"/>
      <w:bookmarkStart w:id="194" w:name="_Toc15743"/>
      <w:bookmarkStart w:id="195" w:name="_Toc90584035"/>
      <w:bookmarkStart w:id="196" w:name="_Toc28027"/>
      <w:bookmarkStart w:id="197" w:name="_Toc21411"/>
      <w:bookmarkStart w:id="198" w:name="_Toc25768"/>
      <w:bookmarkStart w:id="199" w:name="_Toc12486"/>
      <w:bookmarkStart w:id="200" w:name="_Toc75860066"/>
      <w:bookmarkStart w:id="201" w:name="_Toc7550"/>
      <w:bookmarkStart w:id="202" w:name="_Toc22671"/>
      <w:bookmarkStart w:id="203" w:name="_Toc20030"/>
      <w:r>
        <w:rPr>
          <w:rFonts w:hint="eastAsia" w:ascii="黑体" w:hAnsi="黑体" w:eastAsia="黑体" w:cs="仿宋_GB2312"/>
          <w:b w:val="0"/>
          <w:kern w:val="0"/>
          <w:sz w:val="28"/>
          <w:szCs w:val="28"/>
        </w:rPr>
        <w:t>专栏6</w:t>
      </w:r>
      <w:bookmarkEnd w:id="177"/>
      <w:bookmarkEnd w:id="178"/>
      <w:bookmarkEnd w:id="179"/>
      <w:bookmarkEnd w:id="180"/>
      <w:bookmarkEnd w:id="181"/>
      <w:bookmarkEnd w:id="182"/>
      <w:bookmarkEnd w:id="183"/>
      <w:bookmarkEnd w:id="184"/>
      <w:bookmarkEnd w:id="185"/>
      <w:bookmarkEnd w:id="188"/>
      <w:bookmarkEnd w:id="189"/>
      <w:bookmarkEnd w:id="190"/>
      <w:bookmarkEnd w:id="191"/>
      <w:bookmarkEnd w:id="192"/>
      <w:bookmarkEnd w:id="193"/>
      <w:bookmarkEnd w:id="194"/>
      <w:bookmarkStart w:id="204" w:name="_Toc3339"/>
      <w:bookmarkStart w:id="205" w:name="_Toc26871"/>
      <w:bookmarkStart w:id="206" w:name="_Toc4748"/>
      <w:bookmarkStart w:id="207" w:name="_Toc25271"/>
      <w:bookmarkStart w:id="208" w:name="_Toc9257"/>
      <w:bookmarkStart w:id="209" w:name="_Toc31590"/>
      <w:bookmarkStart w:id="210" w:name="_Toc25978"/>
      <w:bookmarkStart w:id="211" w:name="_Toc32605"/>
      <w:bookmarkStart w:id="212" w:name="_Toc7705"/>
      <w:bookmarkStart w:id="213" w:name="_Toc14098"/>
      <w:bookmarkStart w:id="214" w:name="_Toc2948"/>
      <w:bookmarkStart w:id="215" w:name="_Toc16844"/>
      <w:bookmarkStart w:id="216" w:name="_Toc24091"/>
      <w:bookmarkStart w:id="217" w:name="_Toc17754"/>
      <w:bookmarkStart w:id="218" w:name="_Toc12592"/>
      <w:bookmarkStart w:id="219" w:name="_Toc14142"/>
      <w:r>
        <w:rPr>
          <w:rFonts w:hint="eastAsia" w:ascii="黑体" w:hAnsi="黑体" w:eastAsia="黑体" w:cs="仿宋_GB2312"/>
          <w:b w:val="0"/>
          <w:kern w:val="0"/>
          <w:sz w:val="28"/>
          <w:szCs w:val="28"/>
          <w:lang w:val="en-US" w:eastAsia="zh-CN"/>
        </w:rPr>
        <w:t xml:space="preserve"> </w:t>
      </w:r>
      <w:r>
        <w:rPr>
          <w:rFonts w:hint="eastAsia" w:ascii="黑体" w:hAnsi="黑体" w:eastAsia="黑体" w:cs="仿宋_GB2312"/>
          <w:b w:val="0"/>
          <w:kern w:val="0"/>
          <w:sz w:val="28"/>
          <w:szCs w:val="28"/>
        </w:rPr>
        <w:t>公共服务主要发展指标</w:t>
      </w:r>
      <w:bookmarkEnd w:id="186"/>
      <w:bookmarkEnd w:id="187"/>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bl>
      <w:tblPr>
        <w:tblStyle w:val="25"/>
        <w:tblW w:w="886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57"/>
        <w:gridCol w:w="1403"/>
        <w:gridCol w:w="1247"/>
        <w:gridCol w:w="1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5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指标</w:t>
            </w:r>
          </w:p>
        </w:tc>
        <w:tc>
          <w:tcPr>
            <w:tcW w:w="1403"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2020年</w:t>
            </w:r>
          </w:p>
        </w:tc>
        <w:tc>
          <w:tcPr>
            <w:tcW w:w="124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kern w:val="0"/>
                <w:sz w:val="24"/>
                <w:szCs w:val="24"/>
              </w:rPr>
            </w:pPr>
            <w:r>
              <w:rPr>
                <w:rFonts w:eastAsia="仿宋_GB2312"/>
                <w:bCs/>
                <w:kern w:val="0"/>
                <w:sz w:val="24"/>
                <w:szCs w:val="24"/>
              </w:rPr>
              <w:t>2025年</w:t>
            </w:r>
          </w:p>
        </w:tc>
        <w:tc>
          <w:tcPr>
            <w:tcW w:w="1558"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bCs/>
                <w:sz w:val="24"/>
                <w:szCs w:val="24"/>
              </w:rPr>
            </w:pPr>
            <w:r>
              <w:rPr>
                <w:rFonts w:eastAsia="仿宋_GB2312"/>
                <w:bCs/>
                <w:sz w:val="24"/>
                <w:szCs w:val="24"/>
              </w:rPr>
              <w:t>指标属性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5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color w:val="auto"/>
                <w:kern w:val="0"/>
                <w:sz w:val="24"/>
                <w:szCs w:val="24"/>
              </w:rPr>
            </w:pPr>
            <w:r>
              <w:rPr>
                <w:rFonts w:hint="eastAsia" w:eastAsia="仿宋_GB2312"/>
                <w:color w:val="auto"/>
                <w:kern w:val="0"/>
                <w:sz w:val="24"/>
                <w:szCs w:val="24"/>
              </w:rPr>
              <w:t>1</w:t>
            </w:r>
            <w:r>
              <w:rPr>
                <w:rFonts w:eastAsia="仿宋_GB2312"/>
                <w:color w:val="auto"/>
                <w:kern w:val="0"/>
                <w:sz w:val="24"/>
                <w:szCs w:val="24"/>
              </w:rPr>
              <w:t>.社会保障卡发放（万张）</w:t>
            </w:r>
          </w:p>
        </w:tc>
        <w:tc>
          <w:tcPr>
            <w:tcW w:w="1403"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297</w:t>
            </w:r>
          </w:p>
        </w:tc>
        <w:tc>
          <w:tcPr>
            <w:tcW w:w="1247"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color w:val="auto"/>
                <w:kern w:val="0"/>
                <w:sz w:val="24"/>
                <w:szCs w:val="24"/>
              </w:rPr>
            </w:pPr>
            <w:r>
              <w:rPr>
                <w:rFonts w:eastAsia="仿宋_GB2312"/>
                <w:bCs/>
                <w:color w:val="auto"/>
                <w:sz w:val="24"/>
                <w:szCs w:val="24"/>
              </w:rPr>
              <w:t>［</w:t>
            </w:r>
            <w:r>
              <w:rPr>
                <w:rFonts w:eastAsia="仿宋_GB2312"/>
                <w:color w:val="auto"/>
                <w:kern w:val="0"/>
                <w:sz w:val="24"/>
                <w:szCs w:val="24"/>
              </w:rPr>
              <w:t>3</w:t>
            </w:r>
            <w:r>
              <w:rPr>
                <w:rFonts w:hint="eastAsia" w:eastAsia="仿宋_GB2312"/>
                <w:color w:val="auto"/>
                <w:kern w:val="0"/>
                <w:sz w:val="24"/>
                <w:szCs w:val="24"/>
              </w:rPr>
              <w:t>2</w:t>
            </w:r>
            <w:r>
              <w:rPr>
                <w:rFonts w:eastAsia="仿宋_GB2312"/>
                <w:color w:val="auto"/>
                <w:kern w:val="0"/>
                <w:sz w:val="24"/>
                <w:szCs w:val="24"/>
              </w:rPr>
              <w:t>0</w:t>
            </w:r>
            <w:r>
              <w:rPr>
                <w:rFonts w:eastAsia="仿宋_GB2312"/>
                <w:bCs/>
                <w:color w:val="auto"/>
                <w:sz w:val="24"/>
                <w:szCs w:val="24"/>
              </w:rPr>
              <w:t>］</w:t>
            </w:r>
          </w:p>
        </w:tc>
        <w:tc>
          <w:tcPr>
            <w:tcW w:w="1558"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657"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color w:val="auto"/>
                <w:kern w:val="0"/>
                <w:sz w:val="24"/>
                <w:szCs w:val="24"/>
              </w:rPr>
            </w:pPr>
            <w:r>
              <w:rPr>
                <w:rFonts w:hint="eastAsia" w:eastAsia="仿宋_GB2312"/>
                <w:color w:val="auto"/>
                <w:kern w:val="0"/>
                <w:sz w:val="24"/>
                <w:szCs w:val="24"/>
              </w:rPr>
              <w:t>2.其中：申领电子社保卡人口覆盖率（%）</w:t>
            </w:r>
          </w:p>
        </w:tc>
        <w:tc>
          <w:tcPr>
            <w:tcW w:w="1403"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color w:val="auto"/>
                <w:kern w:val="0"/>
                <w:sz w:val="24"/>
                <w:szCs w:val="24"/>
              </w:rPr>
            </w:pPr>
            <w:r>
              <w:rPr>
                <w:rFonts w:hint="eastAsia" w:eastAsia="仿宋_GB2312"/>
                <w:color w:val="auto"/>
                <w:kern w:val="0"/>
                <w:sz w:val="24"/>
                <w:szCs w:val="24"/>
              </w:rPr>
              <w:t>—</w:t>
            </w:r>
          </w:p>
        </w:tc>
        <w:tc>
          <w:tcPr>
            <w:tcW w:w="1247" w:type="dxa"/>
            <w:tcBorders>
              <w:top w:val="single" w:color="auto" w:sz="2" w:space="0"/>
              <w:left w:val="single" w:color="auto" w:sz="2" w:space="0"/>
              <w:bottom w:val="single" w:color="auto" w:sz="2" w:space="0"/>
              <w:right w:val="single" w:color="auto" w:sz="2" w:space="0"/>
            </w:tcBorders>
            <w:vAlign w:val="center"/>
          </w:tcPr>
          <w:p>
            <w:pPr>
              <w:snapToGrid w:val="0"/>
              <w:spacing w:line="360" w:lineRule="exact"/>
              <w:jc w:val="center"/>
              <w:textAlignment w:val="baseline"/>
              <w:rPr>
                <w:rFonts w:eastAsia="仿宋_GB2312"/>
                <w:bCs/>
                <w:color w:val="auto"/>
                <w:sz w:val="24"/>
                <w:szCs w:val="24"/>
              </w:rPr>
            </w:pPr>
            <w:r>
              <w:rPr>
                <w:rFonts w:hint="eastAsia" w:eastAsia="仿宋_GB2312"/>
                <w:bCs/>
                <w:color w:val="auto"/>
                <w:sz w:val="24"/>
                <w:szCs w:val="24"/>
              </w:rPr>
              <w:t>67</w:t>
            </w:r>
          </w:p>
        </w:tc>
        <w:tc>
          <w:tcPr>
            <w:tcW w:w="1558" w:type="dxa"/>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center"/>
              <w:textAlignment w:val="baseline"/>
              <w:rPr>
                <w:rFonts w:eastAsia="仿宋_GB2312"/>
                <w:color w:val="auto"/>
                <w:kern w:val="0"/>
                <w:sz w:val="24"/>
                <w:szCs w:val="24"/>
              </w:rPr>
            </w:pPr>
            <w:r>
              <w:rPr>
                <w:rFonts w:eastAsia="仿宋_GB2312"/>
                <w:color w:val="auto"/>
                <w:kern w:val="0"/>
                <w:sz w:val="24"/>
                <w:szCs w:val="24"/>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865" w:type="dxa"/>
            <w:gridSpan w:val="4"/>
            <w:tcBorders>
              <w:top w:val="single" w:color="auto" w:sz="2" w:space="0"/>
              <w:left w:val="single" w:color="auto" w:sz="2" w:space="0"/>
              <w:bottom w:val="single" w:color="auto" w:sz="2" w:space="0"/>
              <w:right w:val="single" w:color="auto" w:sz="2" w:space="0"/>
            </w:tcBorders>
            <w:vAlign w:val="center"/>
          </w:tcPr>
          <w:p>
            <w:pPr>
              <w:widowControl w:val="0"/>
              <w:snapToGrid w:val="0"/>
              <w:spacing w:line="360" w:lineRule="exact"/>
              <w:jc w:val="left"/>
              <w:textAlignment w:val="baseline"/>
              <w:rPr>
                <w:rFonts w:eastAsia="仿宋_GB2312"/>
                <w:kern w:val="0"/>
                <w:sz w:val="24"/>
                <w:szCs w:val="24"/>
              </w:rPr>
            </w:pPr>
            <w:r>
              <w:rPr>
                <w:rFonts w:eastAsia="仿宋_GB2312"/>
                <w:bCs/>
                <w:sz w:val="24"/>
                <w:szCs w:val="24"/>
              </w:rPr>
              <w:t>注：［］内为五年累计数</w:t>
            </w:r>
          </w:p>
        </w:tc>
      </w:tr>
    </w:tbl>
    <w:p>
      <w:pPr>
        <w:pStyle w:val="3"/>
        <w:snapToGrid w:val="0"/>
        <w:spacing w:before="0" w:after="0" w:line="360" w:lineRule="auto"/>
        <w:jc w:val="center"/>
        <w:textAlignment w:val="baseline"/>
        <w:rPr>
          <w:rFonts w:ascii="方正小标宋简体" w:hAnsi="仿宋_GB2312" w:eastAsia="方正小标宋简体" w:cs="仿宋_GB2312"/>
          <w:b w:val="0"/>
          <w:sz w:val="32"/>
          <w:szCs w:val="32"/>
        </w:rPr>
      </w:pPr>
      <w:bookmarkStart w:id="220" w:name="_Toc8399"/>
      <w:bookmarkStart w:id="221" w:name="_Toc3979"/>
      <w:r>
        <w:rPr>
          <w:rFonts w:hint="eastAsia" w:ascii="方正小标宋简体" w:eastAsia="方正小标宋简体"/>
          <w:b w:val="0"/>
        </w:rPr>
        <w:t xml:space="preserve">第三章 </w:t>
      </w:r>
      <w:bookmarkEnd w:id="220"/>
      <w:r>
        <w:rPr>
          <w:rFonts w:hint="eastAsia" w:ascii="方正小标宋简体" w:eastAsia="方正小标宋简体"/>
          <w:b w:val="0"/>
        </w:rPr>
        <w:t>推进更加充分更高质量就业</w:t>
      </w:r>
      <w:bookmarkEnd w:id="221"/>
    </w:p>
    <w:p>
      <w:pPr>
        <w:widowControl w:val="0"/>
        <w:snapToGrid w:val="0"/>
        <w:spacing w:line="360" w:lineRule="auto"/>
        <w:ind w:firstLine="640" w:firstLineChars="200"/>
        <w:textAlignment w:val="baseline"/>
        <w:rPr>
          <w:rFonts w:ascii="仿宋_GB2312" w:hAnsi="仿宋_GB2312" w:eastAsia="仿宋_GB2312" w:cs="仿宋_GB2312"/>
          <w:sz w:val="32"/>
          <w:szCs w:val="32"/>
        </w:rPr>
      </w:pP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就业是最大的民生，坚持劳动者自主就业、市场调节就业、政府促进就业和鼓励创业统筹推进,深入实施就业优先战略和更加积极的就业政策,健全城乡就业政策体系、公共就业服务体系，培育新的就业增长点，加大重点群体帮扶力度，多渠道支持灵活就业，努力提升就业质量，着力缓解结构性就业矛盾,防范化解规模性失业风险，持续推进城乡公共就业服务均等化，努力实现更加充分更高质量就业，确保全州就业局势总体稳定。</w:t>
      </w:r>
    </w:p>
    <w:p>
      <w:pPr>
        <w:pStyle w:val="4"/>
        <w:snapToGrid w:val="0"/>
        <w:jc w:val="center"/>
        <w:textAlignment w:val="baseline"/>
      </w:pPr>
      <w:bookmarkStart w:id="222" w:name="_Toc1278"/>
      <w:r>
        <w:rPr>
          <w:rFonts w:hint="eastAsia"/>
        </w:rPr>
        <w:t>第一节 积极实施就业优先政策</w:t>
      </w:r>
      <w:bookmarkEnd w:id="222"/>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坚持把更加充分更高质量就业作为经济社会发展的优先目标，全面强化、精准实施积极就业政策，扩大就业容量，提升就业质量，兜牢民生底线，增进民生福祉。</w:t>
      </w: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——加强党对就业工作的领导。</w:t>
      </w:r>
      <w:r>
        <w:rPr>
          <w:rFonts w:hint="eastAsia" w:ascii="仿宋_GB2312" w:hAnsi="仿宋_GB2312" w:eastAsia="仿宋_GB2312" w:cs="仿宋_GB2312"/>
          <w:sz w:val="32"/>
          <w:szCs w:val="32"/>
        </w:rPr>
        <w:t>充分发挥稳就业工作领导小组作用，强化地方党委政府、州直各成员单位就业创业工作职责，落实就业目标责任考核机制、工作督查考核机制。县、乡两级党委政府要切实履行稳就业主体责任，党委政府主要负责同志是本级稳就业工作第一责任人，村（社区）党组织书记为本级稳就业工作第一责任人。强化党建引领作用，把党的建设与稳就业工作相结合，将稳就业列入基层党组织工作的重要内容，切实为稳就业工作提供强有力的组织保障。</w:t>
      </w: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——加强就业政策统筹协调。</w:t>
      </w:r>
      <w:r>
        <w:rPr>
          <w:rFonts w:hint="eastAsia" w:ascii="仿宋_GB2312" w:hAnsi="仿宋_GB2312" w:eastAsia="仿宋_GB2312" w:cs="仿宋_GB2312"/>
          <w:sz w:val="32"/>
          <w:szCs w:val="32"/>
        </w:rPr>
        <w:t>围绕“四新”主攻“四化”和高质量发展对就业工作的新要求，加大地方财政对促进就业的资金投入，扩大政策组合的就业促进效应，促进就业政策与财政、金融、投资、消费、产业等政策的配套衔接，协调联动通过挖掘内需带动就业、加大投资创造就业、发展产业扩大就业，多渠道开发就业岗位，多措并举促进平等就业，健全完善促就业工作若干措施、就业工作领导小组运行、职业技能培训等系列政策措施，推动政策落实由“人找政策”向“政策找人”转变，释放更多就业政策红利，形成就业政策合力。</w:t>
      </w: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——切实提升职业技能培训质量。</w:t>
      </w:r>
      <w:r>
        <w:rPr>
          <w:rFonts w:hint="eastAsia" w:ascii="仿宋_GB2312" w:hAnsi="仿宋_GB2312" w:eastAsia="仿宋_GB2312" w:cs="仿宋_GB2312"/>
          <w:sz w:val="32"/>
          <w:szCs w:val="32"/>
        </w:rPr>
        <w:t>引导培训资源向市场急需、企业生产必需等领域集中，动态调整政府补贴性培训项目目录。采取政府按规定补贴培训、企业自主培训、市场化培训等多样化的培训方式，大力开展“短平快”、项目制以及订单式、定向式培训，探索“互联网+职业技能培训”。统筹各级各类职业技能培训资金，加强集约化管理和使用，健全分层分类的培训补贴标准体系，畅通培训补贴直达企业和培训者渠道。健全职业技能培训监督评价考核机制。建立健全“实名制培训管理系统”功能，建立终身培训电子档案，实现与就业、社会保障等信息联通共享。</w:t>
      </w:r>
    </w:p>
    <w:p>
      <w:pPr>
        <w:widowControl w:val="0"/>
        <w:snapToGrid w:val="0"/>
        <w:spacing w:line="360" w:lineRule="auto"/>
        <w:ind w:firstLine="640" w:firstLineChars="200"/>
        <w:textAlignment w:val="baseline"/>
        <w:rPr>
          <w:rFonts w:ascii="仿宋_GB2312" w:eastAsia="仿宋_GB2312"/>
          <w:color w:val="auto"/>
          <w:sz w:val="32"/>
          <w:szCs w:val="32"/>
          <w:u w:val="none"/>
        </w:rPr>
      </w:pPr>
      <w:bookmarkStart w:id="223" w:name="_Toc794"/>
      <w:bookmarkStart w:id="224" w:name="_Toc25771"/>
      <w:bookmarkStart w:id="225" w:name="_Toc7139"/>
      <w:bookmarkStart w:id="226" w:name="_Toc25283"/>
      <w:r>
        <w:rPr>
          <w:rFonts w:hint="eastAsia" w:eastAsia="楷体_GB2312"/>
          <w:color w:val="auto"/>
          <w:sz w:val="32"/>
          <w:szCs w:val="32"/>
          <w:u w:val="none"/>
        </w:rPr>
        <w:t>——加强</w:t>
      </w:r>
      <w:r>
        <w:rPr>
          <w:rFonts w:eastAsia="楷体_GB2312"/>
          <w:color w:val="auto"/>
          <w:sz w:val="32"/>
          <w:szCs w:val="32"/>
          <w:u w:val="none"/>
        </w:rPr>
        <w:t>劳务市场主体</w:t>
      </w:r>
      <w:r>
        <w:rPr>
          <w:rFonts w:hint="eastAsia" w:eastAsia="楷体_GB2312"/>
          <w:color w:val="auto"/>
          <w:sz w:val="32"/>
          <w:szCs w:val="32"/>
          <w:u w:val="none"/>
        </w:rPr>
        <w:t>培育</w:t>
      </w:r>
      <w:r>
        <w:rPr>
          <w:rFonts w:eastAsia="楷体_GB2312"/>
          <w:color w:val="auto"/>
          <w:sz w:val="32"/>
          <w:szCs w:val="32"/>
          <w:u w:val="none"/>
        </w:rPr>
        <w:t>。</w:t>
      </w:r>
      <w:r>
        <w:rPr>
          <w:rFonts w:hint="eastAsia" w:ascii="仿宋_GB2312" w:hAnsi="楷体" w:eastAsia="仿宋_GB2312"/>
          <w:color w:val="auto"/>
          <w:sz w:val="32"/>
          <w:szCs w:val="32"/>
          <w:u w:val="none"/>
        </w:rPr>
        <w:t>深化东西部劳务协作，不断健全和长三角、珠三角以及省内外经济发达地区的劳务协作对接机制，</w:t>
      </w:r>
      <w:r>
        <w:rPr>
          <w:rFonts w:hint="eastAsia" w:eastAsia="仿宋_GB2312"/>
          <w:color w:val="auto"/>
          <w:sz w:val="32"/>
          <w:szCs w:val="32"/>
          <w:u w:val="none"/>
        </w:rPr>
        <w:t>大力培育建设一批州县级零工市场、劳务市场、就业驿站（网点），加强从业人员队伍素质提升培训，不断提升劳务组织实体化运营能力。指导</w:t>
      </w:r>
      <w:r>
        <w:rPr>
          <w:rFonts w:eastAsia="仿宋_GB2312"/>
          <w:color w:val="auto"/>
          <w:sz w:val="32"/>
          <w:szCs w:val="32"/>
          <w:u w:val="none"/>
        </w:rPr>
        <w:t>县（市）加快培育扶持本地人力资源服务机构做大做强，大力招引一批优质人力资源服务机构，</w:t>
      </w:r>
      <w:r>
        <w:rPr>
          <w:rFonts w:hint="eastAsia" w:eastAsia="仿宋_GB2312"/>
          <w:color w:val="auto"/>
          <w:sz w:val="32"/>
          <w:szCs w:val="32"/>
          <w:u w:val="none"/>
        </w:rPr>
        <w:t>强化政府购买公共就业服务</w:t>
      </w:r>
      <w:r>
        <w:rPr>
          <w:rFonts w:hint="eastAsia" w:eastAsia="仿宋_GB2312"/>
          <w:color w:val="auto"/>
          <w:sz w:val="32"/>
          <w:szCs w:val="32"/>
          <w:u w:val="none"/>
          <w:lang w:eastAsia="zh-CN"/>
        </w:rPr>
        <w:t>能力</w:t>
      </w:r>
      <w:r>
        <w:rPr>
          <w:rFonts w:hint="eastAsia" w:eastAsia="仿宋_GB2312"/>
          <w:color w:val="auto"/>
          <w:sz w:val="32"/>
          <w:szCs w:val="32"/>
          <w:u w:val="none"/>
        </w:rPr>
        <w:t>，提高劳务市场活力，激励更多的人力资源机构到乡村和园区开展就业服务，不断提升</w:t>
      </w:r>
      <w:r>
        <w:rPr>
          <w:rFonts w:hint="eastAsia" w:ascii="仿宋_GB2312" w:eastAsia="仿宋_GB2312"/>
          <w:color w:val="auto"/>
          <w:sz w:val="32"/>
          <w:szCs w:val="32"/>
          <w:u w:val="none"/>
        </w:rPr>
        <w:t>劳动力有组织劳务输出就业水平。</w:t>
      </w:r>
    </w:p>
    <w:p>
      <w:pPr>
        <w:snapToGrid w:val="0"/>
        <w:spacing w:line="360" w:lineRule="auto"/>
        <w:ind w:firstLine="640" w:firstLineChars="200"/>
        <w:textAlignment w:val="baseline"/>
        <w:rPr>
          <w:rFonts w:ascii="仿宋_GB2312" w:hAnsi="仿宋_GB2312" w:eastAsia="仿宋_GB2312" w:cs="仿宋_GB2312"/>
          <w:color w:val="auto"/>
          <w:sz w:val="32"/>
          <w:szCs w:val="32"/>
          <w:u w:val="none"/>
        </w:rPr>
      </w:pPr>
      <w:r>
        <w:rPr>
          <w:rFonts w:hint="eastAsia" w:ascii="楷体_GB2312" w:hAnsi="楷体_GB2312" w:eastAsia="楷体_GB2312" w:cs="楷体_GB2312"/>
          <w:bCs/>
          <w:sz w:val="32"/>
          <w:szCs w:val="32"/>
        </w:rPr>
        <w:t>——加大重点群体就业帮扶力度。</w:t>
      </w:r>
      <w:r>
        <w:rPr>
          <w:rFonts w:hint="eastAsia" w:ascii="仿宋_GB2312" w:hAnsi="仿宋_GB2312" w:eastAsia="仿宋_GB2312" w:cs="仿宋_GB2312"/>
          <w:sz w:val="32"/>
          <w:szCs w:val="32"/>
        </w:rPr>
        <w:t>巩固拓展脱贫攻坚就业成果，继续发挥就业帮扶车间、社区工厂、家庭作坊等就业载体作用，稳定脱贫人口就业。深入实施高校毕业生就业创业促进计划，健全就业指导、职业培训、就业见习等服务机制。联合高校举办校园巡回招聘活动，实施“三支一扶”“西部计划”等基层服务项目，引导高校毕业生返乡创业，到城乡基层就业。实施青年就业启航计划，为城镇青年（主要包括未继续升学初高中毕业生、城镇失业青年、转岗青年职工等）创造多样化就业机会。完善转移劳动力就业服务、职业培训、劳动权益保护“三位一体”的工作机制，加强“春风行动”“民营企业招聘周”等公共就业服务，促进脱贫劳动力、搬</w:t>
      </w:r>
      <w:r>
        <w:rPr>
          <w:rFonts w:hint="eastAsia" w:ascii="仿宋_GB2312" w:hAnsi="仿宋_GB2312" w:eastAsia="仿宋_GB2312" w:cs="仿宋_GB2312"/>
          <w:sz w:val="32"/>
          <w:szCs w:val="32"/>
          <w:lang w:eastAsia="zh-CN"/>
        </w:rPr>
        <w:t>迁</w:t>
      </w:r>
      <w:r>
        <w:rPr>
          <w:rFonts w:hint="eastAsia" w:ascii="仿宋_GB2312" w:hAnsi="仿宋_GB2312" w:eastAsia="仿宋_GB2312" w:cs="仿宋_GB2312"/>
          <w:sz w:val="32"/>
          <w:szCs w:val="32"/>
        </w:rPr>
        <w:t>劳动力等群体稳定就业。完善就业失业登记制度。推进就业困难人员认定管理业务流程标准化，提供针对性公共就业服务，促进失业人员尽快实现就业。规范公益性岗位开发管理，持续开展困难群体就业援助。支持有条件的县（</w:t>
      </w:r>
      <w:r>
        <w:rPr>
          <w:rFonts w:hint="eastAsia" w:eastAsia="仿宋_GB2312"/>
          <w:sz w:val="32"/>
          <w:szCs w:val="32"/>
        </w:rPr>
        <w:t>市）、乡镇（街道）通过购买服务等社会化方式，统筹做好退役军人、残疾人和</w:t>
      </w:r>
      <w:r>
        <w:rPr>
          <w:rFonts w:hint="eastAsia" w:eastAsia="仿宋_GB2312"/>
          <w:color w:val="auto"/>
          <w:sz w:val="32"/>
          <w:szCs w:val="32"/>
          <w:u w:val="none"/>
        </w:rPr>
        <w:t>其他群体就业工作。</w:t>
      </w:r>
    </w:p>
    <w:p>
      <w:pPr>
        <w:snapToGrid w:val="0"/>
        <w:spacing w:line="360" w:lineRule="auto"/>
        <w:ind w:firstLine="640" w:firstLineChars="200"/>
        <w:textAlignment w:val="baseline"/>
        <w:rPr>
          <w:rFonts w:ascii="仿宋_GB2312" w:hAnsi="仿宋_GB2312" w:eastAsia="仿宋_GB2312" w:cs="仿宋_GB2312"/>
          <w:sz w:val="32"/>
          <w:szCs w:val="32"/>
          <w:u w:val="single"/>
        </w:rPr>
      </w:pPr>
      <w:r>
        <w:rPr>
          <w:rFonts w:hint="eastAsia" w:ascii="楷体_GB2312" w:hAnsi="楷体_GB2312" w:eastAsia="楷体_GB2312" w:cs="楷体_GB2312"/>
          <w:bCs/>
          <w:color w:val="auto"/>
          <w:sz w:val="32"/>
          <w:szCs w:val="32"/>
          <w:u w:val="none"/>
        </w:rPr>
        <w:t>——大力鼓励和引导创业带动就业。</w:t>
      </w:r>
      <w:r>
        <w:rPr>
          <w:rFonts w:hint="eastAsia" w:ascii="仿宋_GB2312" w:hAnsi="仿宋_GB2312" w:eastAsia="仿宋_GB2312" w:cs="仿宋_GB2312"/>
          <w:color w:val="auto"/>
          <w:sz w:val="32"/>
          <w:szCs w:val="32"/>
          <w:u w:val="none"/>
        </w:rPr>
        <w:t>建立健全创业带动就业扶持长效机制，</w:t>
      </w:r>
      <w:r>
        <w:rPr>
          <w:rFonts w:hint="eastAsia" w:ascii="仿宋_GB2312" w:eastAsia="仿宋_GB2312"/>
          <w:color w:val="auto"/>
          <w:sz w:val="32"/>
          <w:szCs w:val="32"/>
          <w:u w:val="none"/>
        </w:rPr>
        <w:t>通过政策驱动、产业带动、平</w:t>
      </w:r>
      <w:r>
        <w:rPr>
          <w:rFonts w:hint="eastAsia" w:ascii="仿宋_GB2312" w:eastAsia="仿宋_GB2312"/>
          <w:color w:val="auto"/>
          <w:sz w:val="32"/>
          <w:szCs w:val="32"/>
          <w:u w:val="none"/>
          <w:shd w:val="clear" w:color="auto" w:fill="FFFFFF"/>
        </w:rPr>
        <w:t>台撬动，</w:t>
      </w:r>
      <w:r>
        <w:rPr>
          <w:rFonts w:hint="eastAsia" w:eastAsia="仿宋_GB2312"/>
          <w:color w:val="auto"/>
          <w:sz w:val="32"/>
          <w:szCs w:val="32"/>
          <w:u w:val="none"/>
          <w:shd w:val="clear" w:color="auto" w:fill="FFFFFF"/>
        </w:rPr>
        <w:t>深入实施“雁归兴贵”促进农民工返乡创业就业行动计划，</w:t>
      </w:r>
      <w:r>
        <w:rPr>
          <w:rFonts w:hint="eastAsia" w:ascii="仿宋_GB2312" w:eastAsia="仿宋_GB2312"/>
          <w:color w:val="auto"/>
          <w:sz w:val="32"/>
          <w:szCs w:val="32"/>
          <w:u w:val="none"/>
          <w:shd w:val="clear" w:color="auto" w:fill="FFFFFF"/>
        </w:rPr>
        <w:t>持续</w:t>
      </w:r>
      <w:r>
        <w:rPr>
          <w:rFonts w:ascii="仿宋_GB2312" w:eastAsia="仿宋_GB2312"/>
          <w:color w:val="auto"/>
          <w:sz w:val="32"/>
          <w:szCs w:val="32"/>
          <w:u w:val="none"/>
          <w:shd w:val="clear" w:color="auto" w:fill="FFFFFF"/>
        </w:rPr>
        <w:t>加大创业</w:t>
      </w:r>
      <w:r>
        <w:rPr>
          <w:rFonts w:hint="eastAsia" w:ascii="仿宋_GB2312" w:eastAsia="仿宋_GB2312"/>
          <w:color w:val="auto"/>
          <w:sz w:val="32"/>
          <w:szCs w:val="32"/>
          <w:u w:val="none"/>
          <w:shd w:val="clear" w:color="auto" w:fill="FFFFFF"/>
        </w:rPr>
        <w:t>带动就业</w:t>
      </w:r>
      <w:r>
        <w:rPr>
          <w:rFonts w:ascii="仿宋_GB2312" w:eastAsia="仿宋_GB2312"/>
          <w:color w:val="auto"/>
          <w:sz w:val="32"/>
          <w:szCs w:val="32"/>
          <w:u w:val="none"/>
          <w:shd w:val="clear" w:color="auto" w:fill="FFFFFF"/>
        </w:rPr>
        <w:t>扶持</w:t>
      </w:r>
      <w:r>
        <w:rPr>
          <w:rFonts w:hint="eastAsia" w:ascii="仿宋_GB2312" w:eastAsia="仿宋_GB2312"/>
          <w:color w:val="auto"/>
          <w:sz w:val="32"/>
          <w:szCs w:val="32"/>
          <w:u w:val="none"/>
          <w:shd w:val="clear" w:color="auto" w:fill="FFFFFF"/>
        </w:rPr>
        <w:t>，支持大学生、退役军人等人员返乡入乡创业，</w:t>
      </w:r>
      <w:r>
        <w:rPr>
          <w:rFonts w:hint="eastAsia" w:ascii="仿宋_GB2312" w:eastAsia="仿宋_GB2312"/>
          <w:color w:val="auto"/>
          <w:sz w:val="32"/>
          <w:szCs w:val="32"/>
          <w:highlight w:val="none"/>
          <w:u w:val="none"/>
          <w:shd w:val="clear" w:color="auto" w:fill="FFFFFF"/>
        </w:rPr>
        <w:t>提供场地、租金减免、创业补贴、创业担保贷款及贴息等政</w:t>
      </w:r>
      <w:r>
        <w:rPr>
          <w:rFonts w:hint="eastAsia" w:ascii="仿宋_GB2312" w:hAnsi="仿宋_GB2312" w:eastAsia="仿宋_GB2312" w:cs="仿宋_GB2312"/>
          <w:color w:val="auto"/>
          <w:sz w:val="32"/>
          <w:szCs w:val="32"/>
          <w:highlight w:val="none"/>
          <w:u w:val="none"/>
        </w:rPr>
        <w:t>策支持。持续推进创业孵化基地、</w:t>
      </w:r>
      <w:r>
        <w:rPr>
          <w:rFonts w:hint="eastAsia" w:ascii="仿宋_GB2312" w:eastAsia="仿宋_GB2312"/>
          <w:color w:val="auto"/>
          <w:sz w:val="32"/>
          <w:szCs w:val="32"/>
          <w:highlight w:val="none"/>
          <w:u w:val="none"/>
          <w:shd w:val="clear" w:color="auto" w:fill="FFFFFF"/>
        </w:rPr>
        <w:t>农民工创业园（点）、</w:t>
      </w:r>
      <w:r>
        <w:rPr>
          <w:rFonts w:hint="eastAsia" w:ascii="仿宋_GB2312" w:hAnsi="仿宋_GB2312" w:eastAsia="仿宋_GB2312" w:cs="仿宋_GB2312"/>
          <w:color w:val="auto"/>
          <w:sz w:val="32"/>
          <w:szCs w:val="32"/>
          <w:highlight w:val="none"/>
          <w:u w:val="none"/>
        </w:rPr>
        <w:t>众创空间等</w:t>
      </w:r>
      <w:r>
        <w:rPr>
          <w:rFonts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双创</w:t>
      </w:r>
      <w:r>
        <w:rPr>
          <w:rFonts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孵化载体建设</w:t>
      </w:r>
      <w:r>
        <w:rPr>
          <w:rFonts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 xml:space="preserve"> 创建一批省级示范基地（园</w:t>
      </w:r>
      <w:r>
        <w:rPr>
          <w:rFonts w:hint="eastAsia" w:ascii="仿宋_GB2312" w:eastAsia="仿宋_GB2312"/>
          <w:color w:val="auto"/>
          <w:sz w:val="32"/>
          <w:szCs w:val="32"/>
          <w:highlight w:val="none"/>
          <w:u w:val="none"/>
          <w:shd w:val="clear" w:color="auto" w:fill="FFFFFF"/>
        </w:rPr>
        <w:t>、点）。</w:t>
      </w:r>
      <w:r>
        <w:rPr>
          <w:rFonts w:hint="eastAsia" w:ascii="仿宋_GB2312" w:hAnsi="仿宋_GB2312" w:eastAsia="仿宋_GB2312" w:cs="仿宋_GB2312"/>
          <w:color w:val="auto"/>
          <w:sz w:val="32"/>
          <w:szCs w:val="32"/>
          <w:u w:val="none"/>
        </w:rPr>
        <w:t>鼓励经开区、各级工业园区建立</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双创</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孵化载体</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rPr>
        <w:t>鼓励县域围绕电商、民族特色手工艺品等特色产品建设孵化载体。</w:t>
      </w:r>
      <w:r>
        <w:rPr>
          <w:rFonts w:hint="eastAsia" w:ascii="仿宋_GB2312" w:hAnsi="仿宋_GB2312" w:eastAsia="仿宋_GB2312" w:cs="仿宋_GB2312"/>
          <w:sz w:val="32"/>
          <w:szCs w:val="32"/>
        </w:rPr>
        <w:t>依托“中国创翼”“职业技能大赛”等赛事活动，提升黔南本土创业创新活力，培育各类技能人才。建立健全创业导师制，支持科技领军企业、高技能人才、专业技术人才等到基层开展创业服务，促进优秀创业项目成果落地，促进创新创业和社会资本有效衔接，营造“大众创业、万众创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良好氛围。</w:t>
      </w:r>
    </w:p>
    <w:p>
      <w:pPr>
        <w:snapToGrid w:val="0"/>
        <w:spacing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——加快就业失业监测体系建设。</w:t>
      </w:r>
      <w:r>
        <w:rPr>
          <w:rFonts w:hint="eastAsia" w:ascii="仿宋_GB2312" w:hAnsi="仿宋_GB2312" w:eastAsia="仿宋_GB2312" w:cs="仿宋_GB2312"/>
          <w:sz w:val="32"/>
          <w:szCs w:val="32"/>
        </w:rPr>
        <w:t>按照市场、行业、群体、区域等，分类健全就业需求调查和失业监测预警机制，建立全州劳动力、企业岗位信息台账，加快构建系统完备、立体化的就业失业监测网络</w:t>
      </w:r>
      <w:r>
        <w:rPr>
          <w:rFonts w:hint="eastAsia" w:eastAsia="仿宋_GB2312"/>
          <w:sz w:val="32"/>
          <w:szCs w:val="32"/>
        </w:rPr>
        <w:t>，推动形成集统计、监测、分析、预警为一体的工作体系</w:t>
      </w:r>
      <w:r>
        <w:rPr>
          <w:rFonts w:hint="eastAsia" w:ascii="仿宋_GB2312" w:hAnsi="仿宋_GB2312" w:eastAsia="仿宋_GB2312" w:cs="仿宋_GB2312"/>
          <w:sz w:val="32"/>
          <w:szCs w:val="32"/>
        </w:rPr>
        <w:t>，加强就业形势研判。推进大数据在就业统计监测领域的应用，实施重点行业、重点企业、重大项目、重大工程等动态预警，</w:t>
      </w:r>
      <w:r>
        <w:rPr>
          <w:rFonts w:hint="eastAsia" w:eastAsia="仿宋_GB2312"/>
          <w:sz w:val="32"/>
          <w:szCs w:val="32"/>
        </w:rPr>
        <w:t>落实就业领域重大突发事件应急处置预案，</w:t>
      </w:r>
      <w:r>
        <w:rPr>
          <w:rFonts w:hint="eastAsia" w:ascii="仿宋_GB2312" w:hAnsi="仿宋_GB2312" w:eastAsia="仿宋_GB2312" w:cs="仿宋_GB2312"/>
          <w:sz w:val="32"/>
          <w:szCs w:val="32"/>
        </w:rPr>
        <w:t>实现州县乡三级响应应对，</w:t>
      </w:r>
      <w:r>
        <w:rPr>
          <w:rFonts w:hint="eastAsia" w:eastAsia="仿宋_GB2312"/>
          <w:sz w:val="32"/>
          <w:szCs w:val="32"/>
        </w:rPr>
        <w:t>有效防范规模性失业风险。</w:t>
      </w:r>
      <w:bookmarkStart w:id="227" w:name="_Toc20992"/>
      <w:bookmarkStart w:id="228" w:name="_Toc28490"/>
      <w:bookmarkStart w:id="229" w:name="_Toc17246"/>
      <w:bookmarkStart w:id="230" w:name="_Toc15407"/>
    </w:p>
    <w:p>
      <w:pPr>
        <w:snapToGrid w:val="0"/>
        <w:spacing w:line="360" w:lineRule="auto"/>
        <w:ind w:firstLine="400" w:firstLineChars="200"/>
        <w:textAlignment w:val="baseline"/>
        <w:rPr>
          <w:b/>
          <w:color w:val="FF0000"/>
          <w:sz w:val="20"/>
        </w:rPr>
      </w:pPr>
    </w:p>
    <w:p>
      <w:pPr>
        <w:pStyle w:val="4"/>
        <w:snapToGrid w:val="0"/>
        <w:jc w:val="center"/>
        <w:textAlignment w:val="baseline"/>
      </w:pPr>
      <w:bookmarkStart w:id="231" w:name="_Toc12497"/>
      <w:bookmarkStart w:id="232" w:name="_Toc9136"/>
      <w:r>
        <w:rPr>
          <w:rFonts w:hint="eastAsia"/>
        </w:rPr>
        <w:t>第二节</w:t>
      </w:r>
      <w:bookmarkEnd w:id="227"/>
      <w:bookmarkEnd w:id="228"/>
      <w:bookmarkEnd w:id="229"/>
      <w:bookmarkEnd w:id="230"/>
      <w:r>
        <w:rPr>
          <w:rFonts w:hint="eastAsia"/>
        </w:rPr>
        <w:t xml:space="preserve"> 优化发展环境促进就业</w:t>
      </w:r>
      <w:bookmarkEnd w:id="231"/>
      <w:bookmarkEnd w:id="232"/>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落实就业优先战略，继续把就业摆在经济社会发展和宏观政策优先位置，注重发展吸纳就业能力强的产业,扩大内需促进就业，支持多渠道灵活就业，在供给端紧盯产业发展，提升劳动力供给配套能力促就业。</w:t>
      </w:r>
    </w:p>
    <w:p>
      <w:pPr>
        <w:snapToGrid w:val="0"/>
        <w:spacing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——紧扣经济发展扩大就业容量。</w:t>
      </w:r>
      <w:r>
        <w:rPr>
          <w:rFonts w:hint="eastAsia" w:ascii="仿宋_GB2312" w:hAnsi="仿宋_GB2312" w:eastAsia="仿宋_GB2312" w:cs="仿宋_GB2312"/>
          <w:sz w:val="32"/>
          <w:szCs w:val="32"/>
        </w:rPr>
        <w:t>把扩大就业规模、优化就业结构、提升就业质量作为经济社会发展的优先目标，</w:t>
      </w:r>
      <w:r>
        <w:rPr>
          <w:rFonts w:hint="eastAsia" w:eastAsia="仿宋_GB2312"/>
          <w:sz w:val="32"/>
          <w:szCs w:val="32"/>
        </w:rPr>
        <w:t>在制定财政、金融、产业、贸易、投资等重大政策时，综合评价对生态环境、就业环境、岗位需求、失业风险等带来的影响，增强经济发展带动就业的能力，</w:t>
      </w:r>
      <w:r>
        <w:rPr>
          <w:rFonts w:hint="eastAsia" w:ascii="仿宋_GB2312" w:hAnsi="仿宋_GB2312" w:eastAsia="仿宋_GB2312" w:cs="仿宋_GB2312"/>
          <w:sz w:val="32"/>
          <w:szCs w:val="32"/>
        </w:rPr>
        <w:t>使就业发展与经济增长、结构升级相协调。发挥政府投资和煤磷化工、特种装备制造、特色轻工、健康医药、城镇路网优化提升工程等重大项目带动就业的作用，多途径开辟就业渠道，为劳动者创造更多就业岗位，扩大就业吸纳能力。健全就业影响评估机</w:t>
      </w:r>
      <w:r>
        <w:rPr>
          <w:rFonts w:hint="eastAsia" w:eastAsia="仿宋_GB2312"/>
          <w:sz w:val="32"/>
          <w:szCs w:val="32"/>
        </w:rPr>
        <w:t>制，推动完善与就业容量挂钩的产业政策，注重发展技能密集型产业，支持吸纳就业能力强的服务业、中小微企业发展，实施重大产业和重大项目就业影响评估，明确重要产业规划和重大项目带动就业目标。</w:t>
      </w:r>
    </w:p>
    <w:p>
      <w:pPr>
        <w:pStyle w:val="10"/>
        <w:snapToGrid w:val="0"/>
        <w:spacing w:after="0"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——优化营商环境促进创业就业。</w:t>
      </w:r>
      <w:r>
        <w:rPr>
          <w:rFonts w:hint="eastAsia" w:ascii="仿宋_GB2312" w:hAnsi="仿宋_GB2312" w:eastAsia="仿宋_GB2312" w:cs="仿宋_GB2312"/>
          <w:sz w:val="32"/>
          <w:szCs w:val="32"/>
        </w:rPr>
        <w:t>持续深化“放管服”改革，持续推进就业服务“减证便民”，完善窗口服务标准流程，配强服务窗口人员力量。大力拓宽投融资渠道，支持建</w:t>
      </w:r>
      <w:r>
        <w:rPr>
          <w:rFonts w:hint="eastAsia" w:eastAsia="仿宋_GB2312"/>
          <w:sz w:val="32"/>
          <w:szCs w:val="32"/>
        </w:rPr>
        <w:t>设一批高质量创业孵化示范基地、农民工返乡创业园（点），加大初创实体支持力度，多部门联合提供场地支持、租金减免、税收优惠、创</w:t>
      </w:r>
      <w:r>
        <w:rPr>
          <w:rFonts w:hint="eastAsia" w:ascii="仿宋_GB2312" w:hAnsi="仿宋_GB2312" w:eastAsia="仿宋_GB2312" w:cs="仿宋_GB2312"/>
          <w:sz w:val="32"/>
          <w:szCs w:val="32"/>
        </w:rPr>
        <w:t>业补贴等扶持“政策包”。组织各级各类创业推进和指导活动，培育构建区域性、综合性创业生态系统。创造便利条件，鼓励和引导创业创新人才投身乡村振兴，在广阔农村创新创业，使兴业兴村与吸纳劳动力就业形成相互支撑、相互配合的良性互动格局。</w:t>
      </w:r>
    </w:p>
    <w:p>
      <w:pPr>
        <w:pStyle w:val="10"/>
        <w:widowControl w:val="0"/>
        <w:snapToGrid w:val="0"/>
        <w:spacing w:after="0"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——鼓励支持多渠道灵活就业。</w:t>
      </w:r>
      <w:r>
        <w:rPr>
          <w:rFonts w:hint="eastAsia" w:ascii="仿宋_GB2312" w:hAnsi="仿宋_GB2312" w:eastAsia="仿宋_GB2312" w:cs="仿宋_GB2312"/>
          <w:sz w:val="32"/>
          <w:szCs w:val="32"/>
        </w:rPr>
        <w:t>鼓励个体经营发展，增加非全日制就业机会，引导夜间经济、</w:t>
      </w:r>
      <w:r>
        <w:rPr>
          <w:rFonts w:hint="eastAsia" w:ascii="仿宋_GB2312" w:hAnsi="仿宋_GB2312" w:eastAsia="仿宋_GB2312" w:cs="仿宋_GB2312"/>
          <w:sz w:val="32"/>
          <w:szCs w:val="32"/>
          <w:lang w:eastAsia="zh-CN"/>
        </w:rPr>
        <w:t>地摊</w:t>
      </w:r>
      <w:r>
        <w:rPr>
          <w:rFonts w:hint="eastAsia" w:ascii="仿宋_GB2312" w:hAnsi="仿宋_GB2312" w:eastAsia="仿宋_GB2312" w:cs="仿宋_GB2312"/>
          <w:sz w:val="32"/>
          <w:szCs w:val="32"/>
        </w:rPr>
        <w:t>经济，做活假日经济，帮扶中小微企业稳健发展，提升服务业吸纳就业能力。</w:t>
      </w:r>
      <w:r>
        <w:rPr>
          <w:rFonts w:hint="eastAsia" w:ascii="仿宋_GB2312" w:hAnsi="仿宋_GB2312" w:eastAsia="仿宋_GB2312" w:cs="仿宋_GB2312"/>
          <w:color w:val="auto"/>
          <w:sz w:val="32"/>
          <w:szCs w:val="32"/>
          <w:highlight w:val="none"/>
          <w:u w:val="none"/>
        </w:rPr>
        <w:t>依</w:t>
      </w:r>
      <w:r>
        <w:rPr>
          <w:rFonts w:ascii="仿宋_GB2312" w:hAnsi="仿宋_GB2312" w:eastAsia="仿宋_GB2312" w:cs="仿宋_GB2312"/>
          <w:color w:val="auto"/>
          <w:sz w:val="32"/>
          <w:szCs w:val="32"/>
          <w:highlight w:val="none"/>
          <w:u w:val="none"/>
        </w:rPr>
        <w:t>托</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个主导</w:t>
      </w:r>
      <w:r>
        <w:rPr>
          <w:rFonts w:hint="eastAsia" w:ascii="仿宋_GB2312" w:hAnsi="仿宋_GB2312" w:eastAsia="仿宋_GB2312" w:cs="仿宋_GB2312"/>
          <w:color w:val="auto"/>
          <w:sz w:val="32"/>
          <w:szCs w:val="32"/>
          <w:highlight w:val="none"/>
          <w:u w:val="none"/>
        </w:rPr>
        <w:t>产业，</w:t>
      </w:r>
      <w:r>
        <w:rPr>
          <w:rFonts w:hint="eastAsia" w:ascii="仿宋_GB2312" w:hAnsi="仿宋_GB2312" w:eastAsia="仿宋_GB2312" w:cs="仿宋_GB2312"/>
          <w:color w:val="auto"/>
          <w:sz w:val="32"/>
          <w:szCs w:val="32"/>
          <w:u w:val="none"/>
        </w:rPr>
        <w:t>拓展以都匀毛尖茶、罗甸火龙果、龙里刺梨等为主的规模性季节用工。</w:t>
      </w:r>
      <w:r>
        <w:rPr>
          <w:rFonts w:hint="eastAsia" w:ascii="仿宋_GB2312" w:hAnsi="仿宋_GB2312" w:eastAsia="仿宋_GB2312" w:cs="仿宋_GB2312"/>
          <w:sz w:val="32"/>
          <w:szCs w:val="32"/>
        </w:rPr>
        <w:t>围绕旅游服务、设施建设等，提升黔南绿博园、秦汉影视城、平塘天眼、荔波小七孔等一批吸纳灵活就业旅游品牌创建。立足民族民间文化传承保护和开发，</w:t>
      </w:r>
      <w:r>
        <w:rPr>
          <w:rFonts w:hint="eastAsia" w:ascii="仿宋_GB2312" w:hAnsi="仿宋_GB2312" w:eastAsia="仿宋_GB2312" w:cs="仿宋_GB2312"/>
          <w:color w:val="auto"/>
          <w:sz w:val="32"/>
          <w:szCs w:val="32"/>
          <w:highlight w:val="none"/>
          <w:u w:val="none"/>
        </w:rPr>
        <w:t>大力推进</w:t>
      </w:r>
      <w:r>
        <w:rPr>
          <w:rFonts w:hint="eastAsia" w:ascii="仿宋_GB2312" w:hAnsi="仿宋_GB2312" w:eastAsia="仿宋_GB2312" w:cs="仿宋_GB2312"/>
          <w:color w:val="auto"/>
          <w:sz w:val="32"/>
          <w:szCs w:val="32"/>
          <w:highlight w:val="none"/>
          <w:u w:val="none"/>
          <w:lang w:eastAsia="zh-CN"/>
        </w:rPr>
        <w:t>民族刺绣（水族马尾绣）</w:t>
      </w:r>
      <w:r>
        <w:rPr>
          <w:rFonts w:hint="eastAsia" w:ascii="仿宋_GB2312" w:hAnsi="仿宋_GB2312" w:eastAsia="仿宋_GB2312" w:cs="仿宋_GB2312"/>
          <w:color w:val="auto"/>
          <w:sz w:val="32"/>
          <w:szCs w:val="32"/>
          <w:highlight w:val="none"/>
          <w:u w:val="none"/>
        </w:rPr>
        <w:t>、蜡染、银饰加工、</w:t>
      </w:r>
      <w:r>
        <w:rPr>
          <w:rFonts w:hint="eastAsia" w:ascii="仿宋_GB2312" w:hAnsi="仿宋_GB2312" w:eastAsia="仿宋_GB2312" w:cs="仿宋_GB2312"/>
          <w:color w:val="auto"/>
          <w:sz w:val="32"/>
          <w:szCs w:val="32"/>
          <w:highlight w:val="none"/>
          <w:u w:val="none"/>
          <w:lang w:eastAsia="zh-CN"/>
        </w:rPr>
        <w:t>手工织布、</w:t>
      </w:r>
      <w:r>
        <w:rPr>
          <w:rFonts w:hint="eastAsia" w:ascii="仿宋_GB2312" w:hAnsi="仿宋_GB2312" w:eastAsia="仿宋_GB2312" w:cs="仿宋_GB2312"/>
          <w:color w:val="auto"/>
          <w:sz w:val="32"/>
          <w:szCs w:val="32"/>
          <w:highlight w:val="none"/>
          <w:u w:val="none"/>
        </w:rPr>
        <w:t>民族服装制作等</w:t>
      </w:r>
      <w:r>
        <w:rPr>
          <w:rFonts w:hint="eastAsia" w:ascii="仿宋_GB2312" w:hAnsi="仿宋_GB2312" w:eastAsia="仿宋_GB2312" w:cs="仿宋_GB2312"/>
          <w:sz w:val="32"/>
          <w:szCs w:val="32"/>
        </w:rPr>
        <w:t>劳动力居家灵活就业。加强城镇划行规市管理，清理取消限制灵活就业不合理的规定。集中安置一批小商品零售、特色小吃经营、花鸟市场、夜市一条街、精品水果等从业地点，</w:t>
      </w:r>
      <w:r>
        <w:rPr>
          <w:rFonts w:hint="eastAsia" w:eastAsia="仿宋_GB2312"/>
          <w:kern w:val="0"/>
          <w:sz w:val="32"/>
          <w:szCs w:val="32"/>
        </w:rPr>
        <w:t>扩大灵活就业规模。加快推动网络零售、移动出行、线上培训等行业发展，为劳动者居家就业、兼职就业创造条件。围绕就业帮扶车间、社区服务、家政护工、</w:t>
      </w:r>
      <w:r>
        <w:rPr>
          <w:rFonts w:hint="eastAsia" w:ascii="仿宋_GB2312" w:hAnsi="仿宋_GB2312" w:eastAsia="仿宋_GB2312" w:cs="仿宋_GB2312"/>
          <w:sz w:val="32"/>
          <w:szCs w:val="32"/>
        </w:rPr>
        <w:t>直播销售、网约配送</w:t>
      </w:r>
      <w:r>
        <w:rPr>
          <w:rFonts w:hint="eastAsia" w:eastAsia="仿宋_GB2312"/>
          <w:kern w:val="0"/>
          <w:sz w:val="32"/>
          <w:szCs w:val="32"/>
        </w:rPr>
        <w:t>等开发和拓展就业空间促进灵活就业。强化对灵活就业人员就业服务，建立完善适应灵活就业和新就业形态的劳动权益保障制度，引导支持灵活就业人员和新就业形态劳动者参加社会保险，提高灵活就业人员和新就业形态劳动者社会保障水平。</w:t>
      </w:r>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——建设高标准人力资源市场体系。</w:t>
      </w:r>
      <w:r>
        <w:rPr>
          <w:rFonts w:hint="eastAsia" w:ascii="仿宋_GB2312" w:hAnsi="仿宋_GB2312" w:eastAsia="仿宋_GB2312" w:cs="仿宋_GB2312"/>
          <w:color w:val="auto"/>
          <w:sz w:val="32"/>
          <w:szCs w:val="32"/>
          <w:u w:val="none"/>
        </w:rPr>
        <w:t>推动人力资源服务与实体经济融合发展，引导人力资源服务机构围绕产业基础高级化、产业链现代化提供精准专业服务。深化东西部劳务协作，依托对口帮扶城市和劳务协作城市优势资源，建立黔南人力资源服务产业园。大力推动人力资源服务与“四化”协同发展，加强人力资源服务标准化、信息化、品牌化建设，建立黔南人力资源行业协会。扶持培育一批有地域特色、行业特征、技能特点，带动农村劳动力就业效果好的劳务品牌和劳务基地，</w:t>
      </w:r>
      <w:r>
        <w:rPr>
          <w:rFonts w:hint="eastAsia" w:ascii="仿宋_GB2312" w:hAnsi="仿宋_GB2312" w:eastAsia="仿宋_GB2312" w:cs="仿宋_GB2312"/>
          <w:sz w:val="32"/>
          <w:szCs w:val="32"/>
        </w:rPr>
        <w:t>选树一批诚信人力资源服务示范典型，推动人力资源集聚发展。探索创新网络招聘等领域监管手段，严厉打击查处“黑中介”等人力资源市场的违法犯罪行为，维护劳动者合法权益。</w:t>
      </w:r>
    </w:p>
    <w:p>
      <w:pPr>
        <w:widowControl w:val="0"/>
        <w:snapToGrid w:val="0"/>
        <w:spacing w:line="360" w:lineRule="auto"/>
        <w:ind w:firstLine="640" w:firstLineChars="200"/>
        <w:textAlignment w:val="baseline"/>
        <w:rPr>
          <w:rFonts w:ascii="仿宋_GB2312" w:hAnsi="仿宋_GB2312" w:eastAsia="仿宋_GB2312" w:cs="仿宋_GB2312"/>
          <w:sz w:val="32"/>
          <w:szCs w:val="32"/>
        </w:rPr>
      </w:pPr>
    </w:p>
    <w:p>
      <w:pPr>
        <w:pStyle w:val="4"/>
        <w:snapToGrid w:val="0"/>
        <w:jc w:val="center"/>
        <w:textAlignment w:val="baseline"/>
      </w:pPr>
      <w:bookmarkStart w:id="233" w:name="_Toc25923"/>
      <w:bookmarkStart w:id="234" w:name="_Toc1159"/>
      <w:r>
        <w:rPr>
          <w:rFonts w:hint="eastAsia"/>
        </w:rPr>
        <w:t>第三节 推进“四化”建设扩大就业</w:t>
      </w:r>
      <w:bookmarkEnd w:id="233"/>
      <w:bookmarkEnd w:id="234"/>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围绕“四新”主攻“四化”，把“四化”建设项目作为扩大全州有效就业的主阵地奋力攻坚，强化就业创业实体支撑，实施一系列就业政策措施“组合拳”，培育接续有力的就业新动能。</w:t>
      </w:r>
    </w:p>
    <w:p>
      <w:pPr>
        <w:snapToGrid w:val="0"/>
        <w:spacing w:line="360" w:lineRule="auto"/>
        <w:ind w:firstLine="640" w:firstLineChars="200"/>
        <w:jc w:val="left"/>
        <w:textAlignment w:val="baseline"/>
        <w:rPr>
          <w:rFonts w:ascii="仿宋_GB2312" w:hAnsi="仿宋_GB2312" w:eastAsia="仿宋_GB2312" w:cs="仿宋_GB2312"/>
          <w:sz w:val="32"/>
          <w:szCs w:val="32"/>
        </w:rPr>
      </w:pPr>
      <w:r>
        <w:rPr>
          <w:rFonts w:hint="eastAsia" w:ascii="楷体_GB2312" w:hAnsi="楷体_GB2312" w:eastAsia="楷体_GB2312" w:cs="楷体_GB2312"/>
          <w:bCs/>
          <w:color w:val="auto"/>
          <w:sz w:val="32"/>
          <w:szCs w:val="32"/>
          <w:u w:val="none"/>
        </w:rPr>
        <w:t>——发展新型工业化带动就业。</w:t>
      </w:r>
      <w:r>
        <w:rPr>
          <w:rFonts w:hint="eastAsia" w:ascii="仿宋_GB2312" w:hAnsi="仿宋_GB2312" w:eastAsia="仿宋_GB2312" w:cs="仿宋_GB2312"/>
          <w:color w:val="auto"/>
          <w:sz w:val="32"/>
          <w:szCs w:val="32"/>
          <w:u w:val="none"/>
        </w:rPr>
        <w:t>加快培育园区主导产业、首位产业，加快创新要素集聚，推动产业集聚发展，把园区打造成为发展产业、增加就业的主载体、主阵地。依托福泉—瓮安一体化磷化工产业园、龙里经开区建设，围绕现代化工、新型建材、装备制造、生态特色食品、健康医药、新能源电池及材料产业等行业科技企业，以业聚人目标，重点引进一批有就业容量、有发展前景的工业项目予以重点支持。发挥劳动力比较优势，大力培育发展劳动密集型工业，创造一批新就业岗位，吸纳一批专业技术人员和产业工人就业，为农业转移人口和外出务工返乡人员创造更多就业机会。实施“千人进千企保用工行动”，鼓励各类大专院校（含技工学校）采取校企合作、联合办学等方式为企业输送毕业生，</w:t>
      </w:r>
      <w:r>
        <w:rPr>
          <w:rFonts w:hint="eastAsia" w:ascii="仿宋_GB2312" w:hAnsi="仿宋_GB2312" w:eastAsia="仿宋_GB2312" w:cs="仿宋_GB2312"/>
          <w:sz w:val="32"/>
          <w:szCs w:val="32"/>
        </w:rPr>
        <w:t>扩大国有企业高校毕业生招聘和就业见习规模，探索将有意愿建立大中专毕业生见习基地的规模以上企业，免申请认定纳入州级高校毕业生见习基地。扩大企业员工培训实训规模。加快实施职业技能提升行动计划，鼓励企业开展线上培训和岗前培训。鼓励支持工业（产业）园区建立职业技能提升中心，构建“一产业一基地、一园区一中心”的职业技能实训体系。加强重点企业用工就业失业动态监测，用好企业用工共享平台，支持企业灵活用工、共享用工，促进就业持续保持稳定。</w:t>
      </w:r>
    </w:p>
    <w:p>
      <w:pPr>
        <w:snapToGrid w:val="0"/>
        <w:spacing w:line="360" w:lineRule="auto"/>
        <w:ind w:firstLine="640" w:firstLineChars="200"/>
        <w:jc w:val="left"/>
        <w:textAlignment w:val="baseline"/>
        <w:rPr>
          <w:rFonts w:ascii="仿宋_GB2312" w:hAnsi="仿宋_GB2312" w:eastAsia="仿宋_GB2312" w:cs="仿宋_GB2312"/>
          <w:color w:val="auto"/>
          <w:sz w:val="32"/>
          <w:szCs w:val="32"/>
          <w:u w:val="none"/>
        </w:rPr>
      </w:pPr>
      <w:r>
        <w:rPr>
          <w:rFonts w:hint="eastAsia" w:ascii="楷体_GB2312" w:hAnsi="楷体_GB2312" w:eastAsia="楷体_GB2312" w:cs="楷体_GB2312"/>
          <w:bCs/>
          <w:color w:val="auto"/>
          <w:sz w:val="32"/>
          <w:szCs w:val="32"/>
          <w:u w:val="none"/>
        </w:rPr>
        <w:t>——推进新型城镇化扩大就业。</w:t>
      </w:r>
      <w:r>
        <w:rPr>
          <w:rFonts w:hint="eastAsia" w:ascii="仿宋_GB2312" w:hAnsi="仿宋_GB2312" w:eastAsia="仿宋_GB2312" w:cs="仿宋_GB2312"/>
          <w:color w:val="auto"/>
          <w:sz w:val="32"/>
          <w:szCs w:val="32"/>
          <w:u w:val="none"/>
        </w:rPr>
        <w:t>围绕“聚人生财”以产兴城、以产聚人、产城融合，不断增强城镇人口承载力、内需带动力、发展竞争力。推动构建以环贵阳城镇带为龙头、以都匀区域性中心城市为引擎、以“贵惠长龙”四县为</w:t>
      </w:r>
      <w:r>
        <w:rPr>
          <w:rFonts w:hint="eastAsia" w:ascii="仿宋_GB2312" w:eastAsia="仿宋_GB2312"/>
          <w:color w:val="auto"/>
          <w:sz w:val="32"/>
          <w:szCs w:val="32"/>
          <w:u w:val="none"/>
        </w:rPr>
        <w:t>引领、</w:t>
      </w:r>
      <w:r>
        <w:rPr>
          <w:rFonts w:hint="eastAsia" w:ascii="仿宋_GB2312" w:hAnsi="仿宋_GB2312" w:eastAsia="仿宋_GB2312" w:cs="仿宋_GB2312"/>
          <w:color w:val="auto"/>
          <w:sz w:val="32"/>
          <w:szCs w:val="32"/>
          <w:u w:val="none"/>
        </w:rPr>
        <w:t>以瓮安-福泉一体化为主轴、以独山区域性支点城市为关节、以罗甸三都荔波平塘县域中心城市为支撑的山地新型城镇化发展格局。</w:t>
      </w:r>
      <w:r>
        <w:rPr>
          <w:rFonts w:hint="eastAsia" w:ascii="仿宋_GB2312" w:hAnsi="仿宋_GB2312" w:eastAsia="仿宋_GB2312" w:cs="仿宋_GB2312"/>
          <w:sz w:val="32"/>
          <w:szCs w:val="32"/>
        </w:rPr>
        <w:t>大力推进以人为核心的新型城镇化，统筹好经济需要、生活需要、生态需要、安全需要，不断增强城镇资源集聚力、人口吸纳力和财源建设力，奋力推动新型城镇化大发展大提升。打造县(市)级新型“智慧城市”“数字乡村”样板，建成一批“智慧社区”，吸纳劳动者就业创业。</w:t>
      </w:r>
      <w:r>
        <w:rPr>
          <w:rFonts w:hint="eastAsia" w:ascii="仿宋_GB2312" w:hAnsi="仿宋_GB2312" w:eastAsia="仿宋_GB2312" w:cs="仿宋_GB2312"/>
          <w:color w:val="auto"/>
          <w:sz w:val="32"/>
          <w:szCs w:val="32"/>
          <w:u w:val="none"/>
        </w:rPr>
        <w:t>深化外出务工“带头能人”和劳务经纪人的挖掘、培育及政策扶持，培育一批“返乡创业之星”。支持促进农民工进城镇就业创业壮大城镇队伍，开展大学生“聚黔行动”，留引大学生在黔南就业创业。</w:t>
      </w:r>
    </w:p>
    <w:p>
      <w:pPr>
        <w:widowControl w:val="0"/>
        <w:snapToGrid w:val="0"/>
        <w:spacing w:line="360" w:lineRule="auto"/>
        <w:ind w:firstLine="640" w:firstLineChars="200"/>
        <w:jc w:val="left"/>
        <w:textAlignment w:val="baseline"/>
        <w:rPr>
          <w:rFonts w:ascii="仿宋_GB2312" w:hAnsi="仿宋_GB2312" w:eastAsia="仿宋_GB2312" w:cs="仿宋_GB2312"/>
          <w:sz w:val="32"/>
          <w:szCs w:val="32"/>
        </w:rPr>
      </w:pPr>
      <w:r>
        <w:rPr>
          <w:rFonts w:hint="eastAsia" w:ascii="楷体_GB2312" w:hAnsi="楷体_GB2312" w:eastAsia="楷体_GB2312" w:cs="楷体_GB2312"/>
          <w:bCs/>
          <w:color w:val="auto"/>
          <w:sz w:val="32"/>
          <w:szCs w:val="32"/>
          <w:u w:val="none"/>
        </w:rPr>
        <w:t>——推动农业现代化促进就业。</w:t>
      </w:r>
      <w:r>
        <w:rPr>
          <w:rFonts w:hint="eastAsia" w:ascii="仿宋_GB2312" w:hAnsi="仿宋_GB2312" w:eastAsia="仿宋_GB2312" w:cs="仿宋_GB2312"/>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个主导</w:t>
      </w:r>
      <w:r>
        <w:rPr>
          <w:rFonts w:hint="eastAsia" w:ascii="仿宋_GB2312" w:hAnsi="仿宋_GB2312" w:eastAsia="仿宋_GB2312" w:cs="仿宋_GB2312"/>
          <w:color w:val="auto"/>
          <w:sz w:val="32"/>
          <w:szCs w:val="32"/>
          <w:highlight w:val="none"/>
          <w:u w:val="none"/>
        </w:rPr>
        <w:t>产业</w:t>
      </w:r>
      <w:r>
        <w:rPr>
          <w:rFonts w:hint="eastAsia" w:eastAsia="仿宋_GB2312"/>
          <w:color w:val="auto"/>
          <w:sz w:val="32"/>
          <w:szCs w:val="32"/>
          <w:highlight w:val="none"/>
          <w:u w:val="none"/>
          <w:lang w:val="en-US" w:eastAsia="zh-CN"/>
        </w:rPr>
        <w:t>为</w:t>
      </w:r>
      <w:r>
        <w:rPr>
          <w:rFonts w:hint="eastAsia" w:ascii="仿宋_GB2312" w:hAnsi="仿宋_GB2312" w:eastAsia="仿宋_GB2312" w:cs="仿宋_GB2312"/>
          <w:color w:val="auto"/>
          <w:sz w:val="32"/>
          <w:szCs w:val="32"/>
          <w:highlight w:val="none"/>
          <w:u w:val="none"/>
        </w:rPr>
        <w:t>重点，</w:t>
      </w:r>
      <w:r>
        <w:rPr>
          <w:rFonts w:hint="eastAsia" w:ascii="仿宋_GB2312" w:hAnsi="仿宋_GB2312" w:eastAsia="仿宋_GB2312" w:cs="仿宋_GB2312"/>
          <w:color w:val="auto"/>
          <w:sz w:val="32"/>
          <w:szCs w:val="32"/>
          <w:u w:val="none"/>
        </w:rPr>
        <w:t>引导重点农业产业、重点农业项目向乡镇聚集、向园区聚集，大力发展农产品加工，培育壮大农产品加工龙头企业，拓宽农民就业增收渠道，培育更多的农业工人。</w:t>
      </w:r>
      <w:r>
        <w:rPr>
          <w:rFonts w:hint="eastAsia" w:ascii="仿宋_GB2312" w:hAnsi="仿宋_GB2312" w:eastAsia="仿宋_GB2312" w:cs="仿宋_GB2312"/>
          <w:sz w:val="32"/>
          <w:szCs w:val="32"/>
        </w:rPr>
        <w:t>大力发展农业生产性服务业、电子商务、休闲农业、乡村旅游，促进农村一二三产</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深度融合，吸引更多资本下乡、人才返乡。积极发展林业产业和林下经济，增加就业岗位。培育龙头企业、专业大户、家庭农场、农民专业合作社、农村经纪人等新型农业经营主体，发挥农村产业吸纳就业的“蓄水池”作用。强化职业培训，提升农村劳动者素质。围绕产业就业需求，深入实施农民全员培训和职业技能提升行动，为乡村振兴提供技能人才支撑。</w:t>
      </w:r>
    </w:p>
    <w:p>
      <w:pPr>
        <w:widowControl w:val="0"/>
        <w:snapToGrid w:val="0"/>
        <w:spacing w:line="360" w:lineRule="auto"/>
        <w:ind w:firstLine="640" w:firstLineChars="200"/>
        <w:jc w:val="left"/>
        <w:textAlignment w:val="baseline"/>
        <w:rPr>
          <w:rFonts w:ascii="仿宋_GB2312" w:hAnsi="仿宋_GB2312" w:eastAsia="仿宋_GB2312" w:cs="仿宋_GB2312"/>
          <w:sz w:val="32"/>
          <w:szCs w:val="32"/>
        </w:rPr>
      </w:pPr>
      <w:r>
        <w:rPr>
          <w:rFonts w:hint="eastAsia" w:ascii="楷体_GB2312" w:hAnsi="楷体_GB2312" w:eastAsia="楷体_GB2312" w:cs="楷体_GB2312"/>
          <w:bCs/>
          <w:color w:val="auto"/>
          <w:sz w:val="32"/>
          <w:szCs w:val="32"/>
          <w:u w:val="none"/>
        </w:rPr>
        <w:t>——支持旅游产业化增进就业。</w:t>
      </w:r>
      <w:r>
        <w:rPr>
          <w:rFonts w:hint="eastAsia" w:ascii="仿宋_GB2312" w:hAnsi="仿宋_GB2312" w:eastAsia="仿宋_GB2312" w:cs="仿宋_GB2312"/>
          <w:color w:val="auto"/>
          <w:sz w:val="32"/>
          <w:szCs w:val="32"/>
          <w:u w:val="none"/>
        </w:rPr>
        <w:t>用好“绿博黔南·康养之州”品牌，以实施市场主体培育、业态升级、服务质量提升、盘活闲置低效项目“四大行动”为抓手，完善居民参与旅游发展利益共享机制，鼓励旅游企业为当地居民提供工作岗位和就业机会，支持引导农村富余劳动力参与餐饮、住宿等经营服务。依托黔南丰富的旅游资源和生态优势，引入社会资本建设一批融旅游、休闲、度假、居住、康养为一体的旅游项目，把旅游业作为带动就业的重要方向。加大旅游从业人员职业技能培训力度，支持和鼓励涉旅企业开展职工培训、新型学徒制培训，支持和鼓励涉旅行业协会、培训机构开展导游员、景区讲解员及宾馆饭店、农家乐等旅游从业人员职业技能培训。</w:t>
      </w:r>
      <w:r>
        <w:rPr>
          <w:rFonts w:hint="eastAsia" w:ascii="仿宋_GB2312" w:hAnsi="仿宋_GB2312" w:eastAsia="仿宋_GB2312" w:cs="仿宋_GB2312"/>
          <w:sz w:val="32"/>
          <w:szCs w:val="32"/>
        </w:rPr>
        <w:t>针对乡村旅游项目建设、主题旅游小镇运营、农家乐经营、乡村风情演艺、民宿特色餐饮服务、乡村工艺品和土特产品开发等方面开展就业创业培训指导，发挥旅游龙头企业、职业（技工）院校培养技能人才基础作用，强化旅游业技能人才培养。</w:t>
      </w:r>
    </w:p>
    <w:p>
      <w:pPr>
        <w:pStyle w:val="4"/>
        <w:snapToGrid w:val="0"/>
        <w:jc w:val="center"/>
        <w:textAlignment w:val="baseline"/>
      </w:pPr>
      <w:bookmarkStart w:id="235" w:name="_Toc20680"/>
      <w:r>
        <w:rPr>
          <w:rFonts w:hint="eastAsia"/>
        </w:rPr>
        <w:t>第四节 强化提升就业服务水平</w:t>
      </w:r>
      <w:bookmarkEnd w:id="223"/>
      <w:bookmarkEnd w:id="224"/>
      <w:bookmarkEnd w:id="225"/>
      <w:bookmarkEnd w:id="226"/>
      <w:bookmarkEnd w:id="235"/>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坚持在发展中保障和改善民生，持续推动民生社会事业拉伸长板、补齐短板、筑牢底板，健全覆盖全民、贯穿全程、辐射全域、便捷高效的全方位公共就业服务体系。</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——深入推进公共就业服务规范化建设。</w:t>
      </w:r>
      <w:r>
        <w:rPr>
          <w:rFonts w:hint="eastAsia" w:ascii="仿宋_GB2312" w:hAnsi="仿宋_GB2312" w:eastAsia="仿宋_GB2312" w:cs="仿宋_GB2312"/>
          <w:bCs/>
          <w:sz w:val="32"/>
          <w:szCs w:val="32"/>
        </w:rPr>
        <w:t>按照“职责明确、流程清晰、衔接紧密、运行顺畅”的一体化业务经办体系，深入推进县、乡、村三级公共就业服务规范化建设，实行服务事项传递一单制，积极推行窗口服务“五制”（首问负责制、全程代理制、一次性告知制、限时办结制、责任追究制）“四公开”（办事程序公开、办事依据公开、办事时限公开、办事结果公开）等制度。发挥基层网格精细管理服务作用，开展劳动力信息摸排、培训组织、就业引导、岗位推荐、政策宣传等就业服务。加强基层公共就业服务能力建设，开展直播带岗、专场招聘、人力资源服务行业促就业等多种形式的供需对接服务。</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——构建就业服务部门互联互通新格局。</w:t>
      </w:r>
      <w:r>
        <w:rPr>
          <w:rFonts w:hint="eastAsia" w:ascii="仿宋_GB2312" w:hAnsi="仿宋_GB2312" w:eastAsia="仿宋_GB2312" w:cs="仿宋_GB2312"/>
          <w:sz w:val="32"/>
          <w:szCs w:val="32"/>
        </w:rPr>
        <w:t>加强部门联动，加大稳就业工作领导小组对就业工作目标任务、工作调度、督考落实力度，建立健全工作会商机制，通过调度会或联席会分析困难和问题，研究制定工作措施，安排部署工作任务。指导部门按照管行业管就业的基本要求，强化联动配合和优势互补，研究部署和落实稳就业工作，加强部门间信息资源传递和共享，畅通部门间横向和纵向数据统计渠道和接口工作的有效衔接，凝心聚力、上下联动、齐抓共管推进稳就业工作高质量发展。</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——健全完善州县乡村四级就业服务体系。</w:t>
      </w:r>
      <w:r>
        <w:rPr>
          <w:rFonts w:hint="eastAsia" w:ascii="仿宋_GB2312" w:hAnsi="仿宋_GB2312" w:eastAsia="仿宋_GB2312" w:cs="仿宋_GB2312"/>
          <w:sz w:val="32"/>
          <w:szCs w:val="32"/>
        </w:rPr>
        <w:t>建立健全贯穿州县乡村和基层网格员的就业公共服务体系，完善创业扶持政策和激励机制,健全劳动关系协调机制,保障人人拥有干事创业、公平发展的机会。强化县（市）就业工作队伍建设，优化人社部门内设机构设置，夯实就业工作队伍力量。乡（镇、街道）成立由党委政府主要负责人任“双组长”的就业工作领导小组，建立健全“一把手”抓就业的长效机制。配强人社中心队伍，确保人员归位开展工作，</w:t>
      </w:r>
      <w:r>
        <w:rPr>
          <w:rFonts w:hint="eastAsia" w:ascii="仿宋_GB2312" w:hAnsi="仿宋_GB2312" w:eastAsia="仿宋_GB2312" w:cs="仿宋_GB2312"/>
          <w:color w:val="auto"/>
          <w:sz w:val="32"/>
          <w:szCs w:val="32"/>
        </w:rPr>
        <w:t>有责有人</w:t>
      </w:r>
      <w:r>
        <w:rPr>
          <w:rFonts w:hint="eastAsia" w:ascii="仿宋_GB2312" w:hAnsi="仿宋_GB2312" w:eastAsia="仿宋_GB2312" w:cs="仿宋_GB2312"/>
          <w:sz w:val="32"/>
          <w:szCs w:val="32"/>
        </w:rPr>
        <w:t>承接工作任务。在村（社区）明确专人推进就业工作，成立就业创业服务站，明确村级就业创业服务站工作职能和人员配置，统筹指挥调度辖区就业工作。</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——扎实推进劳务组织市场化。</w:t>
      </w:r>
      <w:r>
        <w:rPr>
          <w:rFonts w:hint="eastAsia" w:ascii="仿宋_GB2312" w:hAnsi="仿宋_GB2312" w:eastAsia="仿宋_GB2312" w:cs="仿宋_GB2312"/>
          <w:sz w:val="32"/>
          <w:szCs w:val="32"/>
        </w:rPr>
        <w:t>大力推进县、乡、村三级劳务组织建设，坚持“七有”标准（有队伍、有牌子、有场所、有机制、有计划、有业务、有效果），强化县级国有劳务公司、乡镇(街道)分公司或独立法人的劳务公司以及村（社区）劳务合作社规范化建设，积极推进“公司+劳务合作社+村支两委”人员双向进入、交叉任职，优化政企、村企协作互惠机制，提升基层公共就业服务质量</w:t>
      </w:r>
      <w:r>
        <w:rPr>
          <w:rFonts w:hint="eastAsia" w:hAnsi="仿宋_GB2312" w:eastAsia="仿宋_GB2312"/>
          <w:sz w:val="32"/>
          <w:szCs w:val="32"/>
        </w:rPr>
        <w:t>。在</w:t>
      </w:r>
      <w:r>
        <w:rPr>
          <w:rFonts w:eastAsia="仿宋_GB2312"/>
          <w:sz w:val="32"/>
          <w:szCs w:val="32"/>
        </w:rPr>
        <w:t>3000</w:t>
      </w:r>
      <w:r>
        <w:rPr>
          <w:rFonts w:hint="eastAsia" w:eastAsia="仿宋_GB2312"/>
          <w:sz w:val="32"/>
          <w:szCs w:val="32"/>
        </w:rPr>
        <w:t>人</w:t>
      </w:r>
      <w:r>
        <w:rPr>
          <w:rFonts w:hint="eastAsia" w:ascii="仿宋_GB2312" w:hAnsi="仿宋_GB2312" w:eastAsia="仿宋_GB2312" w:cs="仿宋_GB2312"/>
          <w:sz w:val="32"/>
          <w:szCs w:val="32"/>
        </w:rPr>
        <w:t>以上的易地搬迁安置点成立社区劳务合作社，不断巩固和完善易地搬迁培训和就业后续服务体系建设。巩固提升“带头能</w:t>
      </w:r>
      <w:r>
        <w:rPr>
          <w:rFonts w:hint="eastAsia" w:ascii="仿宋_GB2312" w:hAnsi="仿宋_GB2312" w:eastAsia="仿宋_GB2312"/>
          <w:sz w:val="32"/>
          <w:szCs w:val="32"/>
        </w:rPr>
        <w:t>人”培育机制，建立健全“公司+合作社+协作站+带头能人”利益联结和劳务输出新机制。继续巩固提升东西部劳务协作成果，每个</w:t>
      </w:r>
      <w:r>
        <w:rPr>
          <w:rFonts w:hint="eastAsia" w:eastAsia="仿宋_GB2312"/>
          <w:sz w:val="32"/>
          <w:szCs w:val="32"/>
        </w:rPr>
        <w:t>县（市）在户籍</w:t>
      </w:r>
      <w:r>
        <w:rPr>
          <w:rFonts w:hAnsi="仿宋_GB2312" w:eastAsia="仿宋_GB2312"/>
          <w:sz w:val="32"/>
          <w:szCs w:val="32"/>
        </w:rPr>
        <w:t>1.5</w:t>
      </w:r>
      <w:r>
        <w:rPr>
          <w:rFonts w:hint="eastAsia" w:hAnsi="仿宋_GB2312" w:eastAsia="仿宋_GB2312"/>
          <w:sz w:val="32"/>
          <w:szCs w:val="32"/>
        </w:rPr>
        <w:t>万</w:t>
      </w:r>
      <w:r>
        <w:rPr>
          <w:rFonts w:hint="eastAsia" w:eastAsia="仿宋_GB2312"/>
          <w:sz w:val="32"/>
          <w:szCs w:val="32"/>
        </w:rPr>
        <w:t>人以上务工集中地至少建</w:t>
      </w:r>
      <w:r>
        <w:rPr>
          <w:rFonts w:hint="eastAsia" w:hAnsi="仿宋_GB2312" w:eastAsia="仿宋_GB2312"/>
          <w:sz w:val="32"/>
          <w:szCs w:val="32"/>
        </w:rPr>
        <w:t>立</w:t>
      </w:r>
      <w:r>
        <w:rPr>
          <w:rFonts w:hAnsi="仿宋_GB2312" w:eastAsia="仿宋_GB2312"/>
          <w:sz w:val="32"/>
          <w:szCs w:val="32"/>
        </w:rPr>
        <w:t>1</w:t>
      </w:r>
      <w:r>
        <w:rPr>
          <w:rFonts w:hint="eastAsia" w:eastAsia="仿宋_GB2312"/>
          <w:sz w:val="32"/>
          <w:szCs w:val="32"/>
        </w:rPr>
        <w:t>个劳务协作站（</w:t>
      </w:r>
      <w:r>
        <w:rPr>
          <w:rFonts w:hint="eastAsia" w:ascii="仿宋_GB2312" w:hAnsi="仿宋_GB2312" w:eastAsia="仿宋_GB2312"/>
          <w:sz w:val="32"/>
          <w:szCs w:val="32"/>
        </w:rPr>
        <w:t>点）。</w:t>
      </w:r>
    </w:p>
    <w:p>
      <w:pPr>
        <w:snapToGrid w:val="0"/>
        <w:spacing w:line="360" w:lineRule="auto"/>
        <w:ind w:firstLine="640" w:firstLineChars="200"/>
        <w:textAlignment w:val="baseline"/>
        <w:rPr>
          <w:rStyle w:val="47"/>
          <w:rFonts w:hint="eastAsia" w:ascii="仿宋_GB2312" w:eastAsia="仿宋_GB2312"/>
          <w:color w:val="auto"/>
          <w:sz w:val="32"/>
          <w:szCs w:val="32"/>
          <w:u w:val="none"/>
        </w:rPr>
      </w:pPr>
      <w:r>
        <w:rPr>
          <w:rFonts w:hint="eastAsia" w:ascii="楷体_GB2312" w:hAnsi="楷体_GB2312" w:eastAsia="楷体_GB2312" w:cs="楷体_GB2312"/>
          <w:bCs/>
          <w:sz w:val="32"/>
          <w:szCs w:val="32"/>
        </w:rPr>
        <w:t>——提升城乡劳动力</w:t>
      </w:r>
      <w:r>
        <w:rPr>
          <w:rFonts w:hint="eastAsia" w:ascii="楷体_GB2312" w:hAnsi="楷体_GB2312" w:eastAsia="楷体_GB2312" w:cs="楷体_GB2312"/>
          <w:bCs/>
          <w:color w:val="auto"/>
          <w:sz w:val="32"/>
          <w:szCs w:val="32"/>
          <w:highlight w:val="none"/>
          <w:u w:val="none"/>
          <w:lang w:eastAsia="zh-CN"/>
        </w:rPr>
        <w:t>智慧</w:t>
      </w:r>
      <w:r>
        <w:rPr>
          <w:rFonts w:hint="eastAsia" w:ascii="楷体_GB2312" w:hAnsi="楷体_GB2312" w:eastAsia="楷体_GB2312" w:cs="楷体_GB2312"/>
          <w:bCs/>
          <w:color w:val="auto"/>
          <w:sz w:val="32"/>
          <w:szCs w:val="32"/>
          <w:highlight w:val="none"/>
          <w:u w:val="none"/>
        </w:rPr>
        <w:t>化</w:t>
      </w:r>
      <w:r>
        <w:rPr>
          <w:rFonts w:hint="eastAsia" w:ascii="楷体_GB2312" w:hAnsi="楷体_GB2312" w:eastAsia="楷体_GB2312" w:cs="楷体_GB2312"/>
          <w:bCs/>
          <w:color w:val="auto"/>
          <w:sz w:val="32"/>
          <w:szCs w:val="32"/>
          <w:highlight w:val="none"/>
          <w:u w:val="none"/>
          <w:lang w:eastAsia="zh-CN"/>
        </w:rPr>
        <w:t>服务</w:t>
      </w:r>
      <w:r>
        <w:rPr>
          <w:rFonts w:hint="eastAsia" w:ascii="楷体_GB2312" w:hAnsi="楷体_GB2312" w:eastAsia="楷体_GB2312" w:cs="楷体_GB2312"/>
          <w:bCs/>
          <w:sz w:val="32"/>
          <w:szCs w:val="32"/>
        </w:rPr>
        <w:t>能力。</w:t>
      </w:r>
      <w:r>
        <w:rPr>
          <w:rFonts w:hint="eastAsia" w:ascii="仿宋_GB2312" w:hAnsi="仿宋_GB2312" w:eastAsia="仿宋_GB2312" w:cs="仿宋_GB2312"/>
          <w:sz w:val="32"/>
          <w:szCs w:val="32"/>
        </w:rPr>
        <w:t>加强省劳务就业大数据平台、劳动力培训就业信息系统等信息平台系统的</w:t>
      </w:r>
      <w:r>
        <w:rPr>
          <w:rFonts w:hint="eastAsia" w:ascii="仿宋_GB2312" w:hAnsi="仿宋_GB2312" w:eastAsia="仿宋_GB2312" w:cs="仿宋_GB2312"/>
          <w:color w:val="auto"/>
          <w:sz w:val="32"/>
          <w:szCs w:val="32"/>
          <w:highlight w:val="none"/>
          <w:u w:val="none"/>
          <w:lang w:eastAsia="zh-CN"/>
        </w:rPr>
        <w:t>推广</w:t>
      </w:r>
      <w:r>
        <w:rPr>
          <w:rFonts w:hint="eastAsia" w:ascii="楷体_GB2312" w:hAnsi="楷体_GB2312" w:eastAsia="楷体_GB2312" w:cs="楷体_GB2312"/>
          <w:bCs/>
          <w:color w:val="auto"/>
          <w:sz w:val="32"/>
          <w:szCs w:val="32"/>
          <w:highlight w:val="none"/>
          <w:u w:val="none"/>
          <w:lang w:eastAsia="zh-CN"/>
        </w:rPr>
        <w:t>应</w:t>
      </w:r>
      <w:r>
        <w:rPr>
          <w:rFonts w:hint="eastAsia" w:ascii="楷体_GB2312" w:hAnsi="楷体_GB2312" w:eastAsia="楷体_GB2312" w:cs="楷体_GB2312"/>
          <w:bCs/>
          <w:color w:val="auto"/>
          <w:sz w:val="32"/>
          <w:szCs w:val="32"/>
          <w:highlight w:val="none"/>
          <w:u w:val="none"/>
        </w:rPr>
        <w:t>用，</w:t>
      </w:r>
      <w:r>
        <w:rPr>
          <w:rFonts w:hint="eastAsia" w:ascii="仿宋_GB2312" w:hAnsi="仿宋_GB2312" w:eastAsia="仿宋_GB2312" w:cs="仿宋_GB2312"/>
          <w:sz w:val="32"/>
          <w:szCs w:val="32"/>
        </w:rPr>
        <w:t>采集完善城镇用工单位、用工岗位、全体劳动力群体基础信息，定期核实更新，做到“六清”（辖区单位人员数量清、用工岗位增减清、从业人员底数清、就业培训意愿清、就业失业变动清、文化技能水平清），动态掌握劳动力就业水平和质量，</w:t>
      </w:r>
      <w:r>
        <w:rPr>
          <w:rFonts w:hint="eastAsia" w:ascii="仿宋_GB2312" w:eastAsia="仿宋_GB2312"/>
          <w:color w:val="auto"/>
          <w:sz w:val="32"/>
          <w:u w:val="none"/>
        </w:rPr>
        <w:t>建立健全“红、橙、黄、绿”分类精准服务机制，</w:t>
      </w:r>
      <w:r>
        <w:rPr>
          <w:rFonts w:hint="eastAsia" w:ascii="仿宋_GB2312" w:hAnsi="仿宋_GB2312" w:eastAsia="仿宋_GB2312" w:cs="仿宋_GB2312"/>
          <w:color w:val="auto"/>
          <w:sz w:val="32"/>
          <w:szCs w:val="32"/>
          <w:highlight w:val="none"/>
          <w:u w:val="none"/>
          <w:lang w:val="en-US" w:eastAsia="zh-CN"/>
        </w:rPr>
        <w:t>利用大数据技术实现劳动力供给和需求之间的精准匹配，发展网络灵活用工平台经济新业态。</w:t>
      </w:r>
      <w:r>
        <w:rPr>
          <w:rFonts w:hint="eastAsia" w:ascii="仿宋_GB2312" w:hAnsi="仿宋_GB2312" w:eastAsia="仿宋_GB2312" w:cs="仿宋_GB2312"/>
          <w:color w:val="auto"/>
          <w:sz w:val="32"/>
          <w:szCs w:val="32"/>
          <w:u w:val="none"/>
        </w:rPr>
        <w:t>加快公共就业服务智慧化升级，</w:t>
      </w:r>
      <w:r>
        <w:rPr>
          <w:rStyle w:val="47"/>
          <w:rFonts w:hint="eastAsia" w:ascii="仿宋_GB2312" w:eastAsia="仿宋_GB2312"/>
          <w:color w:val="auto"/>
          <w:sz w:val="32"/>
          <w:szCs w:val="32"/>
          <w:u w:val="none"/>
        </w:rPr>
        <w:t>依托黔南州数字经济运营中台，</w:t>
      </w:r>
      <w:r>
        <w:rPr>
          <w:rFonts w:hint="eastAsia" w:ascii="仿宋_GB2312" w:hAnsi="仿宋_GB2312" w:eastAsia="仿宋_GB2312" w:cs="仿宋_GB2312"/>
          <w:color w:val="auto"/>
          <w:sz w:val="32"/>
          <w:u w:val="none"/>
        </w:rPr>
        <w:t>不断推进“智慧就业”精准服务改革，积极</w:t>
      </w:r>
      <w:r>
        <w:rPr>
          <w:rStyle w:val="47"/>
          <w:rFonts w:hint="eastAsia" w:ascii="仿宋_GB2312" w:eastAsia="仿宋_GB2312"/>
          <w:color w:val="auto"/>
          <w:sz w:val="32"/>
          <w:szCs w:val="32"/>
          <w:u w:val="none"/>
        </w:rPr>
        <w:t>衔接国家、省现有相关平台资源，畅通各部门间横向和纵向数据统计渠道和接口的有效衔接，</w:t>
      </w:r>
      <w:r>
        <w:rPr>
          <w:rFonts w:hint="eastAsia" w:ascii="仿宋_GB2312" w:hAnsi="仿宋_GB2312" w:eastAsia="仿宋_GB2312" w:cs="仿宋_GB2312"/>
          <w:color w:val="auto"/>
          <w:sz w:val="32"/>
          <w:szCs w:val="32"/>
          <w:u w:val="none"/>
        </w:rPr>
        <w:t>推动公共就业服务向移动终端、自助平台延伸，打造集政策解读、业务办理等于一体的人工智能服务模式，逐步实现服务事项“一网通办”。</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——强化劳动者平等就业促进有序流动。</w:t>
      </w:r>
      <w:r>
        <w:rPr>
          <w:rFonts w:hint="eastAsia" w:ascii="仿宋_GB2312" w:hAnsi="仿宋_GB2312" w:eastAsia="仿宋_GB2312" w:cs="仿宋_GB2312"/>
          <w:sz w:val="32"/>
          <w:szCs w:val="32"/>
        </w:rPr>
        <w:t>深入开展失业登记，失业人员可在户籍地、常住地、就业地、参保地进行登记。建立劳动者平等参与市场竞争的就业机制，营造公平的市场环境，依法纠正和消除民族、种族、性别、户籍、身份、残疾、宗教信仰等各类影响平等就业的不合理限制或就业歧视，增强劳动力市场包容性。建立健全州内劳务协作机制，发挥县际中心城区岗位集中优势，促进劳动力有序流动。</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——加强政策宣传引导和先进示范选树。</w:t>
      </w:r>
      <w:bookmarkStart w:id="236" w:name="_Toc3776"/>
      <w:bookmarkStart w:id="237" w:name="_Toc29353"/>
      <w:bookmarkStart w:id="238" w:name="_Toc6035"/>
      <w:bookmarkStart w:id="239" w:name="_Toc21821"/>
      <w:bookmarkStart w:id="240" w:name="_Toc1913"/>
      <w:bookmarkStart w:id="241" w:name="_Toc1774"/>
      <w:bookmarkStart w:id="242" w:name="_Toc7405"/>
      <w:r>
        <w:rPr>
          <w:rFonts w:hint="eastAsia" w:ascii="仿宋_GB2312" w:hAnsi="仿宋_GB2312" w:eastAsia="仿宋_GB2312" w:cs="仿宋_GB2312"/>
          <w:sz w:val="32"/>
          <w:szCs w:val="32"/>
        </w:rPr>
        <w:t>制定年度就业创业宣传目标及任务，结合实际适时调整宣传的重点和方向。不断创新宣传方式，巩固广播电视、网络宣传方式，建立固定平台宣传渠道。不断加强促就业稳就业先进企业、先进集体、先进农民工、优秀高校毕业生、优秀“带头能人”等示范群体和优秀个人的宣传，多渠道拓宽就业先进典型的社会认同感和良好氛围。</w:t>
      </w:r>
    </w:p>
    <w:p>
      <w:pPr>
        <w:pStyle w:val="4"/>
        <w:snapToGrid w:val="0"/>
        <w:jc w:val="center"/>
        <w:textAlignment w:val="baseline"/>
      </w:pPr>
      <w:bookmarkStart w:id="243" w:name="_Toc28424"/>
      <w:r>
        <w:rPr>
          <w:rFonts w:hint="eastAsia"/>
        </w:rPr>
        <w:t>第五节 实施就业创业提升工程</w:t>
      </w:r>
      <w:bookmarkEnd w:id="236"/>
      <w:bookmarkEnd w:id="237"/>
      <w:bookmarkEnd w:id="238"/>
      <w:bookmarkEnd w:id="239"/>
      <w:bookmarkEnd w:id="240"/>
      <w:bookmarkEnd w:id="241"/>
      <w:bookmarkEnd w:id="242"/>
      <w:bookmarkEnd w:id="243"/>
    </w:p>
    <w:p>
      <w:pPr>
        <w:pStyle w:val="23"/>
        <w:snapToGrid w:val="0"/>
        <w:spacing w:before="0" w:after="0" w:line="360" w:lineRule="auto"/>
        <w:ind w:firstLine="645"/>
        <w:jc w:val="both"/>
        <w:textAlignment w:val="baseline"/>
        <w:rPr>
          <w:rFonts w:ascii="仿宋_GB2312" w:hAnsi="仿宋_GB2312" w:eastAsia="仿宋_GB2312" w:cs="仿宋_GB2312"/>
          <w:b w:val="0"/>
        </w:rPr>
      </w:pPr>
      <w:bookmarkStart w:id="244" w:name="_Toc2588"/>
      <w:bookmarkStart w:id="245" w:name="_Toc15330"/>
      <w:bookmarkStart w:id="246" w:name="_Toc344"/>
      <w:bookmarkStart w:id="247" w:name="_Toc9971"/>
      <w:bookmarkStart w:id="248" w:name="_Toc75860072"/>
      <w:bookmarkStart w:id="249" w:name="_Toc29969"/>
      <w:bookmarkStart w:id="250" w:name="_Toc16305"/>
      <w:bookmarkStart w:id="251" w:name="_Toc6752"/>
      <w:r>
        <w:rPr>
          <w:rFonts w:hint="eastAsia" w:ascii="仿宋_GB2312" w:hAnsi="仿宋_GB2312" w:eastAsia="仿宋_GB2312" w:cs="仿宋_GB2312"/>
          <w:b w:val="0"/>
        </w:rPr>
        <w:t>大力实施就业创业能力提升工程，加强重点群体就业扶持，加快提升劳动者技能，激发创业带动就业活力，着力缓解就业结构性矛盾，提高就业质量。</w:t>
      </w:r>
      <w:bookmarkEnd w:id="244"/>
      <w:bookmarkEnd w:id="245"/>
      <w:bookmarkEnd w:id="246"/>
      <w:bookmarkEnd w:id="247"/>
      <w:bookmarkEnd w:id="248"/>
      <w:bookmarkEnd w:id="249"/>
      <w:bookmarkEnd w:id="250"/>
      <w:bookmarkEnd w:id="251"/>
    </w:p>
    <w:p>
      <w:pPr>
        <w:pStyle w:val="23"/>
        <w:snapToGrid w:val="0"/>
        <w:textAlignment w:val="baseline"/>
        <w:rPr>
          <w:rFonts w:ascii="黑体" w:hAnsi="黑体" w:eastAsia="黑体" w:cs="仿宋_GB2312"/>
          <w:b w:val="0"/>
          <w:bCs w:val="0"/>
          <w:kern w:val="0"/>
          <w:sz w:val="28"/>
          <w:szCs w:val="28"/>
        </w:rPr>
      </w:pPr>
      <w:bookmarkStart w:id="252" w:name="_Toc28204"/>
      <w:bookmarkStart w:id="253" w:name="_Toc90584043"/>
      <w:bookmarkStart w:id="254" w:name="_Toc20022"/>
      <w:bookmarkStart w:id="255" w:name="_Toc27929"/>
      <w:bookmarkStart w:id="256" w:name="_Toc24141"/>
      <w:bookmarkStart w:id="257" w:name="_Toc3115"/>
      <w:bookmarkStart w:id="258" w:name="_Toc27223"/>
      <w:bookmarkStart w:id="259" w:name="_Toc75860073"/>
      <w:bookmarkStart w:id="260" w:name="_Toc31360"/>
      <w:r>
        <w:rPr>
          <w:rFonts w:hint="eastAsia" w:ascii="黑体" w:hAnsi="黑体" w:eastAsia="黑体" w:cs="仿宋_GB2312"/>
          <w:b w:val="0"/>
          <w:kern w:val="0"/>
          <w:sz w:val="28"/>
          <w:szCs w:val="28"/>
        </w:rPr>
        <w:t>专</w:t>
      </w:r>
      <w:r>
        <w:rPr>
          <w:rFonts w:hint="eastAsia" w:ascii="黑体" w:hAnsi="黑体" w:eastAsia="黑体"/>
          <w:b w:val="0"/>
          <w:kern w:val="0"/>
          <w:sz w:val="28"/>
          <w:szCs w:val="28"/>
        </w:rPr>
        <w:t>栏</w:t>
      </w:r>
      <w:r>
        <w:rPr>
          <w:rFonts w:ascii="Times New Roman" w:hAnsi="Times New Roman" w:eastAsia="黑体" w:cs="Times New Roman"/>
          <w:b w:val="0"/>
          <w:kern w:val="0"/>
          <w:sz w:val="28"/>
          <w:szCs w:val="28"/>
        </w:rPr>
        <w:t>7</w:t>
      </w:r>
      <w:r>
        <w:rPr>
          <w:rFonts w:hint="eastAsia" w:ascii="黑体" w:hAnsi="黑体" w:eastAsia="黑体" w:cs="仿宋_GB2312"/>
          <w:b w:val="0"/>
          <w:kern w:val="0"/>
          <w:sz w:val="28"/>
          <w:szCs w:val="28"/>
        </w:rPr>
        <w:t>就业创业提升工程</w:t>
      </w:r>
      <w:bookmarkEnd w:id="252"/>
      <w:bookmarkEnd w:id="253"/>
      <w:bookmarkEnd w:id="254"/>
      <w:bookmarkEnd w:id="255"/>
      <w:bookmarkEnd w:id="256"/>
      <w:bookmarkEnd w:id="257"/>
      <w:bookmarkEnd w:id="258"/>
      <w:bookmarkEnd w:id="259"/>
      <w:bookmarkEnd w:id="260"/>
    </w:p>
    <w:p>
      <w:pPr>
        <w:snapToGrid w:val="0"/>
        <w:textAlignment w:val="baseline"/>
        <w:rPr>
          <w:rFonts w:ascii="黑体" w:hAnsi="黑体" w:eastAsia="黑体"/>
          <w:sz w:val="20"/>
        </w:rPr>
      </w:pPr>
    </w:p>
    <w:tbl>
      <w:tblPr>
        <w:tblStyle w:val="2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jc w:val="center"/>
        </w:trPr>
        <w:tc>
          <w:tcPr>
            <w:tcW w:w="111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名称</w:t>
            </w:r>
          </w:p>
        </w:tc>
        <w:tc>
          <w:tcPr>
            <w:tcW w:w="774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深化就业创业载体</w:t>
            </w:r>
          </w:p>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建设</w:t>
            </w:r>
          </w:p>
        </w:tc>
        <w:tc>
          <w:tcPr>
            <w:tcW w:w="774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发挥“双创”促进就业的重要作用，结合乡村振兴建设，加大创业孵化载体和返乡创业示范点建设力度。加强就业帮扶车间、易地搬迁安置点就业创业服务中心、青年就业见习基地等就业创业平台建设，深化创业孵化基地、农民工创业园（点）建设。深入开展黔南创新创业、职业技能大赛等赛事活动，优化创业环境和创业服务，在全州上下营造创业浓厚氛围。开展充分就业移民安置社区（行政村）创建工作，争创一批省级返乡入乡创业园、创业孵化基地、农民工创业园(点)等，支持外出务工人员带着项目、资金、技术、技能返乡创新创业，</w:t>
            </w:r>
            <w:bookmarkStart w:id="438" w:name="_GoBack"/>
            <w:r>
              <w:rPr>
                <w:rFonts w:hint="eastAsia" w:ascii="仿宋_GB2312" w:hAnsi="宋体" w:eastAsia="仿宋_GB2312" w:cs="仿宋_GB2312"/>
                <w:kern w:val="0"/>
                <w:sz w:val="24"/>
                <w:szCs w:val="24"/>
              </w:rPr>
              <w:t>鼓励引导人才、高校毕业生、</w:t>
            </w:r>
            <w:r>
              <w:rPr>
                <w:rFonts w:hint="eastAsia" w:ascii="仿宋_GB2312" w:hAnsi="宋体" w:eastAsia="仿宋_GB2312" w:cs="仿宋_GB2312"/>
                <w:kern w:val="0"/>
                <w:sz w:val="24"/>
                <w:szCs w:val="24"/>
                <w:lang w:eastAsia="zh-CN"/>
              </w:rPr>
              <w:t>退役</w:t>
            </w:r>
            <w:r>
              <w:rPr>
                <w:rFonts w:hint="eastAsia" w:ascii="仿宋_GB2312" w:hAnsi="宋体" w:eastAsia="仿宋_GB2312" w:cs="仿宋_GB2312"/>
                <w:kern w:val="0"/>
                <w:sz w:val="24"/>
                <w:szCs w:val="24"/>
              </w:rPr>
              <w:t>军人等群体回</w:t>
            </w:r>
            <w:r>
              <w:rPr>
                <w:rFonts w:eastAsia="仿宋_GB2312"/>
                <w:kern w:val="0"/>
                <w:sz w:val="24"/>
                <w:szCs w:val="24"/>
              </w:rPr>
              <w:t>乡创业就业</w:t>
            </w:r>
            <w:bookmarkEnd w:id="438"/>
            <w:r>
              <w:rPr>
                <w:rFonts w:eastAsia="仿宋_GB2312"/>
                <w:kern w:val="0"/>
                <w:sz w:val="24"/>
                <w:szCs w:val="24"/>
              </w:rPr>
              <w:t>。到2025年底，力争新增创建省级创业孵化基地10家和农民工创业园（点）20家</w:t>
            </w:r>
            <w:r>
              <w:rPr>
                <w:rFonts w:hint="eastAsia" w:ascii="仿宋_GB2312" w:hAnsi="宋体"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textAlignment w:val="baseline"/>
              <w:rPr>
                <w:rFonts w:ascii="仿宋_GB2312" w:hAnsi="宋体" w:eastAsia="仿宋_GB2312" w:cs="仿宋_GB2312"/>
                <w:kern w:val="0"/>
                <w:sz w:val="24"/>
                <w:szCs w:val="24"/>
              </w:rPr>
            </w:pPr>
          </w:p>
          <w:p>
            <w:pPr>
              <w:widowControl w:val="0"/>
              <w:snapToGrid w:val="0"/>
              <w:spacing w:line="40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深化东西部劳务协作</w:t>
            </w:r>
          </w:p>
          <w:p>
            <w:pPr>
              <w:pStyle w:val="23"/>
              <w:snapToGrid w:val="0"/>
              <w:textAlignment w:val="baseline"/>
              <w:rPr>
                <w:rFonts w:ascii="仿宋_GB2312" w:hAnsi="宋体" w:eastAsia="仿宋_GB2312" w:cs="仿宋_GB2312"/>
                <w:b w:val="0"/>
                <w:bCs w:val="0"/>
                <w:kern w:val="0"/>
                <w:sz w:val="24"/>
                <w:szCs w:val="24"/>
              </w:rPr>
            </w:pPr>
          </w:p>
        </w:tc>
        <w:tc>
          <w:tcPr>
            <w:tcW w:w="774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ind w:firstLine="480" w:firstLineChars="200"/>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建立完善州内、州外及省外劳务协作机制，深化东西部劳务协作，拓宽劳务转移就业渠道。大力推进东西部劳务协作项目实施和各项政策落实，统筹资金和资源，重点实施劳务协作扶贫专岗开发、劳务协作培训等项目，巩固提升东西部劳务协作成果。建好建优建强劳务协作站（点）。每个县（市）</w:t>
            </w:r>
            <w:r>
              <w:rPr>
                <w:rFonts w:eastAsia="仿宋_GB2312"/>
                <w:kern w:val="0"/>
                <w:sz w:val="24"/>
                <w:szCs w:val="24"/>
              </w:rPr>
              <w:t>在户籍1.5万</w:t>
            </w:r>
            <w:r>
              <w:rPr>
                <w:rFonts w:hint="eastAsia" w:ascii="仿宋_GB2312" w:hAnsi="宋体" w:eastAsia="仿宋_GB2312" w:cs="仿宋_GB2312"/>
                <w:kern w:val="0"/>
                <w:sz w:val="24"/>
                <w:szCs w:val="24"/>
              </w:rPr>
              <w:t>人以上务工集中地至少建</w:t>
            </w:r>
            <w:r>
              <w:rPr>
                <w:rFonts w:hint="eastAsia" w:eastAsia="仿宋_GB2312"/>
                <w:kern w:val="0"/>
                <w:sz w:val="24"/>
                <w:szCs w:val="24"/>
              </w:rPr>
              <w:t>立1个</w:t>
            </w:r>
            <w:r>
              <w:rPr>
                <w:rFonts w:hint="eastAsia" w:ascii="仿宋_GB2312" w:hAnsi="宋体" w:eastAsia="仿宋_GB2312" w:cs="仿宋_GB2312"/>
                <w:kern w:val="0"/>
                <w:sz w:val="24"/>
                <w:szCs w:val="24"/>
              </w:rPr>
              <w:t>劳务协作站（稳岗就业服务中心），驻站人员选派、办公场地、资金保障、功能定位上通过政策措施予以明确到位。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pStyle w:val="23"/>
              <w:snapToGrid w:val="0"/>
              <w:textAlignment w:val="baseline"/>
              <w:rPr>
                <w:rFonts w:ascii="仿宋_GB2312" w:hAnsi="宋体" w:eastAsia="仿宋_GB2312" w:cs="仿宋_GB2312"/>
                <w:b w:val="0"/>
                <w:bCs w:val="0"/>
                <w:kern w:val="0"/>
                <w:sz w:val="24"/>
                <w:szCs w:val="24"/>
              </w:rPr>
            </w:pPr>
            <w:bookmarkStart w:id="261" w:name="_Toc32571"/>
            <w:bookmarkStart w:id="262" w:name="_Toc1578"/>
            <w:bookmarkStart w:id="263" w:name="_Toc19135"/>
            <w:bookmarkStart w:id="264" w:name="_Toc90584044"/>
            <w:bookmarkStart w:id="265" w:name="_Toc22859"/>
            <w:bookmarkStart w:id="266" w:name="_Toc30568"/>
            <w:bookmarkStart w:id="267" w:name="_Toc30169"/>
            <w:bookmarkStart w:id="268" w:name="_Toc27872"/>
            <w:r>
              <w:rPr>
                <w:rFonts w:hint="eastAsia" w:ascii="仿宋_GB2312" w:hAnsi="宋体" w:eastAsia="仿宋_GB2312" w:cs="仿宋_GB2312"/>
                <w:b w:val="0"/>
                <w:bCs w:val="0"/>
                <w:kern w:val="0"/>
                <w:sz w:val="24"/>
                <w:szCs w:val="24"/>
                <w:lang w:val="en-US" w:eastAsia="zh-CN" w:bidi="ar-SA"/>
              </w:rPr>
              <w:t>实施劳务品牌促就业计划</w:t>
            </w:r>
            <w:bookmarkEnd w:id="261"/>
            <w:bookmarkEnd w:id="262"/>
            <w:bookmarkEnd w:id="263"/>
            <w:bookmarkEnd w:id="264"/>
            <w:bookmarkEnd w:id="265"/>
            <w:bookmarkEnd w:id="266"/>
            <w:bookmarkEnd w:id="267"/>
            <w:bookmarkEnd w:id="268"/>
          </w:p>
        </w:tc>
        <w:tc>
          <w:tcPr>
            <w:tcW w:w="774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ind w:firstLine="480" w:firstLineChars="200"/>
              <w:jc w:val="left"/>
              <w:textAlignment w:val="baseline"/>
              <w:rPr>
                <w:rFonts w:ascii="仿宋_GB2312" w:hAnsi="仿宋_GB2312" w:eastAsia="仿宋_GB2312" w:cs="仿宋_GB2312"/>
                <w:sz w:val="32"/>
                <w:szCs w:val="32"/>
              </w:rPr>
            </w:pPr>
            <w:bookmarkStart w:id="269" w:name="_Toc90584045"/>
            <w:r>
              <w:rPr>
                <w:rFonts w:hint="eastAsia" w:ascii="仿宋_GB2312" w:hAnsi="宋体" w:eastAsia="仿宋_GB2312" w:cs="仿宋_GB2312"/>
                <w:kern w:val="0"/>
                <w:sz w:val="24"/>
                <w:szCs w:val="24"/>
              </w:rPr>
              <w:t>建立劳务品牌建设机制，加强劳务品牌发现培育，广泛开展区域间劳务协作，健全劳务输入集中区域与劳务输出省份对接协调机制，加强劳务输出供给，深入实施人力资源服务业高质量发展行动，培育一批有地域特色、行业特征、技能特点，带动农村劳动力就业效果好的劳务品牌，推动人力资源集聚发展，助力乡村振兴。</w:t>
            </w:r>
            <w:bookmarkEnd w:id="2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高校毕业生就业创业工程</w:t>
            </w:r>
          </w:p>
        </w:tc>
        <w:tc>
          <w:tcPr>
            <w:tcW w:w="7747" w:type="dxa"/>
            <w:tcBorders>
              <w:top w:val="single" w:color="auto" w:sz="4" w:space="0"/>
              <w:left w:val="single" w:color="auto" w:sz="4" w:space="0"/>
              <w:bottom w:val="single" w:color="auto" w:sz="4" w:space="0"/>
              <w:right w:val="single" w:color="auto" w:sz="4" w:space="0"/>
            </w:tcBorders>
          </w:tcPr>
          <w:p>
            <w:pPr>
              <w:widowControl w:val="0"/>
              <w:snapToGrid w:val="0"/>
              <w:spacing w:line="40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深入开展实名服务攻坚行动，通过“公开信”指引、求职登记小程序、毕业生登记报到、人事档案托管、线上线下失业登记及基层摸排等渠道，强化高校毕业生实名制管理。建立健全本地毕业生就业服务平台，常态化开展系列线上线下就业专项招聘活动，拓展精细化就业服务。建立高校就业创业服务中心，开展“人社局长进校园”“职业导师进校园”“职业培训进校园”“就业岗位进校园”等系列活动。大力拓展见习单位，稳定持续提供就业见习岗位，推进“三支一扶”“西部计划”计划招募，实施困难毕业生重点帮扶行动，开展离校未就业高校毕业生就业创业推进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巩固易地搬迁就业帮扶计划</w:t>
            </w:r>
          </w:p>
        </w:tc>
        <w:tc>
          <w:tcPr>
            <w:tcW w:w="7747"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400" w:lineRule="exact"/>
              <w:ind w:firstLine="480" w:firstLineChars="200"/>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持续加大易地搬迁群众的就业帮扶力度，通过企业带动就业、定向吸纳就业、开辟专门区域扶持创业、组织外出务工、兜底安置就业；通过对人力资源服务机构税收减免、贷款支持和资金补贴，科学开发乡村公益性岗位促进搬迁困难劳动力兜底就业；面向搬迁群众分类开展培训、定向定岗培训、急需紧缺职业专项培训、以工代训等，力保群众能力有提升。实施易地搬迁就业帮扶专项行动，面向安置区精准投放就业岗位，集中开展专项服务，面向安置区实施“一区一策”定向帮扶，实现有劳动力的搬迁家庭至少“一户一人”就业。</w:t>
            </w:r>
          </w:p>
        </w:tc>
      </w:tr>
    </w:tbl>
    <w:p>
      <w:pPr>
        <w:snapToGrid w:val="0"/>
        <w:spacing w:before="312" w:beforeAutospacing="1" w:after="312" w:afterAutospacing="1" w:line="360" w:lineRule="auto"/>
        <w:jc w:val="left"/>
        <w:textAlignment w:val="baseline"/>
        <w:rPr>
          <w:kern w:val="0"/>
          <w:sz w:val="20"/>
        </w:rPr>
        <w:sectPr>
          <w:pgSz w:w="11905" w:h="16838"/>
          <w:pgMar w:top="2098" w:right="1474" w:bottom="1985" w:left="1588" w:header="720" w:footer="964" w:gutter="0"/>
          <w:pgNumType w:fmt="numberInDash" w:start="1"/>
          <w:cols w:space="0" w:num="1"/>
        </w:sectPr>
      </w:pPr>
    </w:p>
    <w:p>
      <w:pPr>
        <w:pStyle w:val="3"/>
        <w:snapToGrid w:val="0"/>
        <w:spacing w:before="0" w:after="0" w:line="360" w:lineRule="auto"/>
        <w:jc w:val="center"/>
        <w:textAlignment w:val="baseline"/>
        <w:rPr>
          <w:rFonts w:ascii="方正小标宋简体" w:eastAsia="方正小标宋简体"/>
          <w:b w:val="0"/>
        </w:rPr>
      </w:pPr>
      <w:bookmarkStart w:id="270" w:name="_Toc27756"/>
      <w:bookmarkStart w:id="271" w:name="_Toc8301"/>
      <w:r>
        <w:rPr>
          <w:rFonts w:hint="eastAsia" w:ascii="方正小标宋简体" w:eastAsia="方正小标宋简体"/>
          <w:b w:val="0"/>
        </w:rPr>
        <w:t>第四章  全力打造黔南人才高地</w:t>
      </w:r>
      <w:bookmarkEnd w:id="270"/>
      <w:bookmarkEnd w:id="271"/>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坚持党管人才原则，以服务黔南经济社会发展为中心，以改革创新为动力，厚植人才土壤。大力引进和培育创新人才，求贤若渴寻觅人才，各尽其能用好人才，无微不至服务人才，以高质量的人才工作支撑高质量发展，把黔南打造成贵州人才汇聚的新高地。</w:t>
      </w:r>
    </w:p>
    <w:p>
      <w:pPr>
        <w:pStyle w:val="4"/>
        <w:numPr>
          <w:ilvl w:val="0"/>
          <w:numId w:val="1"/>
        </w:numPr>
        <w:snapToGrid w:val="0"/>
        <w:spacing w:line="576" w:lineRule="exact"/>
        <w:jc w:val="center"/>
        <w:textAlignment w:val="baseline"/>
      </w:pPr>
      <w:bookmarkStart w:id="272" w:name="_Toc3654"/>
      <w:bookmarkStart w:id="273" w:name="_Toc19709"/>
      <w:r>
        <w:rPr>
          <w:rFonts w:hint="eastAsia"/>
        </w:rPr>
        <w:t>加强专业技术人才队伍建设</w:t>
      </w:r>
      <w:bookmarkEnd w:id="272"/>
      <w:bookmarkEnd w:id="273"/>
    </w:p>
    <w:p>
      <w:pPr>
        <w:widowControl w:val="0"/>
        <w:snapToGrid w:val="0"/>
        <w:spacing w:line="360" w:lineRule="auto"/>
        <w:ind w:firstLine="640" w:firstLineChars="200"/>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加快培养高水平专业技术人才队伍，夯实创新发展人才基础，为推动经济社会发展、满足群众需求、实现乡村振兴提供有力人才支撑。</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——配合研究完善更加精准的人才引进政策。</w:t>
      </w:r>
      <w:r>
        <w:rPr>
          <w:rFonts w:hint="eastAsia" w:ascii="仿宋_GB2312" w:hAnsi="仿宋_GB2312" w:eastAsia="仿宋_GB2312" w:cs="仿宋_GB2312"/>
          <w:bCs/>
          <w:sz w:val="32"/>
          <w:szCs w:val="32"/>
        </w:rPr>
        <w:t>聚焦“四化”发展，紧盯重点产业、重点领域，围绕重大企业重点项目，按照工作部署，配合研究完善更加精准的人才引进政策，深入实施引才引智行动计划。定期发布需求目录，充分利用人才博览会等平台，常态化举办人才招聘对接活动，刚性流动与柔性流动并举，吸引高层次人才及其团队到我州就业创业。</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——深入实施专业技术人才知识更新工程。</w:t>
      </w:r>
      <w:r>
        <w:rPr>
          <w:rFonts w:ascii="仿宋_GB2312" w:hAnsi="仿宋_GB2312" w:eastAsia="仿宋_GB2312" w:cs="仿宋_GB2312"/>
          <w:bCs/>
          <w:sz w:val="32"/>
          <w:szCs w:val="32"/>
        </w:rPr>
        <w:t>出台</w:t>
      </w:r>
      <w:r>
        <w:rPr>
          <w:rFonts w:hint="eastAsia" w:ascii="仿宋_GB2312" w:hAnsi="仿宋_GB2312" w:eastAsia="仿宋_GB2312" w:cs="仿宋_GB2312"/>
          <w:bCs/>
          <w:sz w:val="32"/>
          <w:szCs w:val="32"/>
        </w:rPr>
        <w:t>州、县</w:t>
      </w:r>
      <w:r>
        <w:rPr>
          <w:rFonts w:ascii="仿宋_GB2312" w:hAnsi="仿宋_GB2312" w:eastAsia="仿宋_GB2312" w:cs="仿宋_GB2312"/>
          <w:bCs/>
          <w:sz w:val="32"/>
          <w:szCs w:val="32"/>
        </w:rPr>
        <w:t>和行业部门专业技术人员继续教育制度，</w:t>
      </w:r>
      <w:r>
        <w:rPr>
          <w:rFonts w:hint="eastAsia" w:ascii="仿宋_GB2312" w:hAnsi="仿宋_GB2312" w:eastAsia="仿宋_GB2312" w:cs="仿宋_GB2312"/>
          <w:bCs/>
          <w:sz w:val="32"/>
          <w:szCs w:val="32"/>
        </w:rPr>
        <w:t>构建分层分类的专业技术人员继续教育体系。依托州内专业技术人员国家级继续教育基地、省级继续教育基地、享受政府特殊津贴专家等，大力开展专业技术人才培训。组织实施优秀人才研修计划，选派专业技术人员参加国家、省、州举办的高级研修班，着力提升专业技术人才创新能力。</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——着力实施重点人才及青年人才培育工程。</w:t>
      </w:r>
      <w:r>
        <w:rPr>
          <w:rFonts w:hint="eastAsia" w:ascii="仿宋_GB2312" w:hAnsi="仿宋_GB2312" w:eastAsia="仿宋_GB2312" w:cs="仿宋_GB2312"/>
          <w:bCs/>
          <w:sz w:val="32"/>
          <w:szCs w:val="32"/>
        </w:rPr>
        <w:t>在经济、科技、教育、乡村振兴、宣传文化、卫生健康、法律服务等领域，重点培育一批促进经济社会发展的专业技术人才。对于有发展潜力的青年人才，指导各行业主管部门专门制定培育计划，有针对性的安排到不同岗位进行锻炼。</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——分类推进专业技术人才评价机制改革。</w:t>
      </w:r>
      <w:r>
        <w:rPr>
          <w:rFonts w:hint="eastAsia" w:ascii="仿宋_GB2312" w:hAnsi="仿宋_GB2312" w:eastAsia="仿宋_GB2312" w:cs="仿宋_GB2312"/>
          <w:bCs/>
          <w:sz w:val="32"/>
          <w:szCs w:val="32"/>
        </w:rPr>
        <w:t>构建专业技术人才评价“三化”体系，着力破除“四唯”倾向。评价标准精准化。根据不同职业、不同岗位、不同层次、不同社会需求，分类建立各有侧重的人才评价标准，防止“一刀切”。会同各行业主管部门对省下发的各系列职称评审条件、岗位任职条件、继续教育学时管理办法进一步细化，出台具体实施细则。评价主体多元化。推动建立以“同行评同行、内行评内行”为基础的业内评价机制，充分发挥用人单位、市场、社会等多元主体的作用，通过问“东家”、问专家、问大家，让评委的来源更加多元化，评价的专业性、权威性、群众性持续提升。评价方式差异化。通过外聘评委、数字评审、直通评价，灵活采用考试、评审、考评结合、考核认定、个人述职、面试答辩、实践操作、业绩展示等不同方式，畅通人才评价渠道，让评价更有针对性，更加公平。</w:t>
      </w:r>
    </w:p>
    <w:p>
      <w:pPr>
        <w:pStyle w:val="4"/>
        <w:snapToGrid w:val="0"/>
        <w:jc w:val="center"/>
        <w:textAlignment w:val="baseline"/>
        <w:rPr>
          <w:rFonts w:hint="eastAsia" w:ascii="Arial" w:hAnsi="Arial"/>
        </w:rPr>
      </w:pPr>
      <w:r>
        <w:rPr>
          <w:rFonts w:hint="eastAsia" w:ascii="Arial" w:hAnsi="Arial"/>
        </w:rPr>
        <w:t xml:space="preserve"> </w:t>
      </w:r>
      <w:bookmarkStart w:id="274" w:name="_Toc22306"/>
      <w:bookmarkStart w:id="275" w:name="_Toc17821"/>
      <w:r>
        <w:rPr>
          <w:rFonts w:hint="eastAsia" w:ascii="Arial" w:hAnsi="Arial"/>
          <w:lang w:eastAsia="zh-CN"/>
        </w:rPr>
        <w:t>第二节</w:t>
      </w:r>
      <w:r>
        <w:rPr>
          <w:rFonts w:hint="eastAsia" w:ascii="Arial" w:hAnsi="Arial"/>
          <w:lang w:val="en-US" w:eastAsia="zh-CN"/>
        </w:rPr>
        <w:t xml:space="preserve"> </w:t>
      </w:r>
      <w:r>
        <w:rPr>
          <w:rFonts w:hint="eastAsia" w:ascii="Arial" w:hAnsi="Arial"/>
        </w:rPr>
        <w:t>千方百计振兴乡村人才</w:t>
      </w:r>
      <w:bookmarkEnd w:id="274"/>
      <w:bookmarkEnd w:id="275"/>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建立农业生产经营人才、农村二三产业人才、乡村公共服务人才、乡村治理人才分类制度，加强生产型、经营型、技能服务型、社会服务型、技能带动型、农村实用带头能人、创新创业型等乡村人才分类管理。</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——完善乡村人才培养制度。</w:t>
      </w:r>
      <w:r>
        <w:rPr>
          <w:rFonts w:hint="eastAsia" w:ascii="仿宋_GB2312" w:hAnsi="仿宋_GB2312" w:eastAsia="仿宋_GB2312" w:cs="仿宋_GB2312"/>
          <w:bCs/>
          <w:sz w:val="32"/>
          <w:szCs w:val="32"/>
        </w:rPr>
        <w:t>深入实施现代农民培育计划，建立服务农业农村培育机制，加快培养农业生产经营人才，充分利用现有资源，培育造就一批专业性、实用性强的农民。培养农业农村高科技领军人才、二三产业发展人才、乡村治理和公共服务人才，加强优秀青年后备人才培养，夯实乡村现代化基础。实施公共就业服务人员能力提升计划，为艰苦地区和基层一线“订单式”培养专业人才。坚持全方位服务，系统开展乡村人才培养培训、评价选拔、职业指导。</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——加强培育各类乡村人才。</w:t>
      </w:r>
      <w:r>
        <w:rPr>
          <w:rFonts w:hint="eastAsia" w:ascii="仿宋_GB2312" w:hAnsi="仿宋_GB2312" w:eastAsia="仿宋_GB2312" w:cs="仿宋_GB2312"/>
          <w:bCs/>
          <w:sz w:val="32"/>
          <w:szCs w:val="32"/>
        </w:rPr>
        <w:t>大力培育服务农村开发应用和推广的农业技术骨干；培育有一定科学文化知识或一技之长的能工巧匠；培育乡村合作社和集体经济中的专业技术人员和经营管理人员；培育农村科技示范户、专业生产示范户、专业技术协会骨干；培育服务农产品销售、科技成果转化、劳动力输转等牵线搭桥的农民经纪人；培育热心带领农民发家致富的村级组织后备干部；扶持热心从事农业生产经营的青年返乡入乡创业。深入开展</w:t>
      </w:r>
      <w:r>
        <w:fldChar w:fldCharType="begin"/>
      </w:r>
      <w:r>
        <w:instrText xml:space="preserve"> HYPERLINK "https://baike.baidu.com/item/%E9%9D%9E%E7%89%A9%E8%B4%A8%E6%96%87%E5%8C%96%E9%81%97%E4%BA%A7/271489" \t "https://baike.baidu.com/item/%E6%96%87%E5%8C%96%E4%BC%A0%E6%89%BF%E4%BA%BA/_blank" </w:instrText>
      </w:r>
      <w:r>
        <w:fldChar w:fldCharType="separate"/>
      </w:r>
      <w:r>
        <w:rPr>
          <w:rFonts w:hint="eastAsia" w:ascii="仿宋_GB2312" w:hAnsi="仿宋_GB2312" w:eastAsia="仿宋_GB2312" w:cs="仿宋_GB2312"/>
          <w:bCs/>
          <w:sz w:val="32"/>
          <w:szCs w:val="32"/>
        </w:rPr>
        <w:t>非物质文化遗产</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传承人、民族服装服饰民间艺人、工艺美术大师、工匠大师、“锦绣计划”等评选活动，在县（市）建立一批乡村人才培训基地、公共实训基地、农民教育培训基地。</w:t>
      </w:r>
    </w:p>
    <w:p>
      <w:pPr>
        <w:widowControl w:val="0"/>
        <w:snapToGrid w:val="0"/>
        <w:spacing w:line="360" w:lineRule="auto"/>
        <w:ind w:firstLine="641"/>
        <w:textAlignment w:val="baseline"/>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——建立健全乡村人才分级分类评价体系。</w:t>
      </w:r>
      <w:r>
        <w:rPr>
          <w:rFonts w:hint="eastAsia" w:ascii="仿宋_GB2312" w:hAnsi="仿宋_GB2312" w:eastAsia="仿宋_GB2312" w:cs="仿宋_GB2312"/>
          <w:bCs/>
          <w:sz w:val="32"/>
          <w:szCs w:val="32"/>
        </w:rPr>
        <w:t>完善教育培训、认定管理、政策扶持“三位一体”制度体系，开展农村实用人才分级评定，同职业农民职称评定有效衔接，符合条件的发放初、中、高级农村实用人才技术职称资格证书，优先推荐参加相关职业培训、享受创新创业有关优惠政策。拓宽农村实用人才评价范围，突出其在促进就业、推动乡村振兴和示范带动等方面的业绩贡献，评选产生一批返乡创业明星。对参训农村劳动力分类评价认证，提高培训质量。对农村实用技术职称分类、评定条件、组织领导、评审机构、评审程序进行规范，按照农民技术员、农民助理技师、农民技师、农民高级技师四个职称等级，对具有较高技术水平的农民评定农村实用技术职称。建立农村实用人才、专业技术人才管理库。完善乡村人才认定标准，重点培育壮大乡村产业人才、特色乡村人才、乡村治理人才、乡村公共服务人才和农业农村科技人才5种类型乡村人才队伍。</w:t>
      </w:r>
    </w:p>
    <w:p>
      <w:pPr>
        <w:pStyle w:val="4"/>
        <w:snapToGrid w:val="0"/>
        <w:spacing w:line="576" w:lineRule="exact"/>
        <w:jc w:val="center"/>
        <w:textAlignment w:val="baseline"/>
        <w:rPr>
          <w:szCs w:val="22"/>
        </w:rPr>
      </w:pPr>
      <w:bookmarkStart w:id="276" w:name="_Toc18147"/>
      <w:bookmarkStart w:id="277" w:name="_Toc2073"/>
      <w:r>
        <w:rPr>
          <w:rFonts w:hint="eastAsia"/>
          <w:szCs w:val="22"/>
        </w:rPr>
        <w:t>第三节 培育壮大技能人才队伍</w:t>
      </w:r>
      <w:bookmarkEnd w:id="276"/>
      <w:bookmarkEnd w:id="277"/>
    </w:p>
    <w:p>
      <w:pPr>
        <w:snapToGrid w:val="0"/>
        <w:spacing w:line="360" w:lineRule="auto"/>
        <w:ind w:firstLine="640" w:firstLineChars="200"/>
        <w:textAlignment w:val="baseline"/>
        <w:rPr>
          <w:rFonts w:ascii="仿宋_GB2312" w:hAnsi="仿宋_GB2312" w:eastAsia="仿宋_GB2312" w:cs="仿宋_GB2312"/>
          <w:bCs/>
          <w:sz w:val="32"/>
          <w:szCs w:val="32"/>
        </w:rPr>
      </w:pPr>
    </w:p>
    <w:p>
      <w:pPr>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仿宋_GB2312" w:hAnsi="仿宋_GB2312" w:eastAsia="仿宋_GB2312" w:cs="仿宋_GB2312"/>
          <w:bCs/>
          <w:sz w:val="32"/>
          <w:szCs w:val="32"/>
        </w:rPr>
        <w:t>建立推行覆盖城乡全体劳动者的终身职业技能培训制度。持续开展职业技能提升行动，建设知识型、技能型、创新型技能人才队伍，培育更多高技能人才、能工巧匠，壮大技能人才队伍规模。大力弘扬工匠精神，营造崇尚技能的良好社会氛围，鼓励劳动者走技能成才、技能报国之路。</w:t>
      </w:r>
    </w:p>
    <w:p>
      <w:pPr>
        <w:snapToGrid w:val="0"/>
        <w:spacing w:line="360" w:lineRule="auto"/>
        <w:ind w:firstLine="640" w:firstLineChars="200"/>
        <w:textAlignment w:val="baseline"/>
        <w:rPr>
          <w:rFonts w:eastAsia="仿宋_GB2312"/>
          <w:sz w:val="32"/>
          <w:szCs w:val="32"/>
          <w:highlight w:val="none"/>
        </w:rPr>
      </w:pPr>
      <w:r>
        <w:rPr>
          <w:rFonts w:hint="eastAsia" w:ascii="楷体_GB2312" w:hAnsi="楷体_GB2312" w:eastAsia="楷体_GB2312" w:cs="楷体_GB2312"/>
          <w:bCs/>
          <w:sz w:val="32"/>
          <w:szCs w:val="32"/>
        </w:rPr>
        <w:t>——实施终身职业技能培训制度。</w:t>
      </w:r>
      <w:r>
        <w:rPr>
          <w:rFonts w:hint="eastAsia" w:ascii="仿宋_GB2312" w:hAnsi="仿宋_GB2312" w:eastAsia="仿宋_GB2312" w:cs="仿宋_GB2312"/>
          <w:sz w:val="32"/>
          <w:szCs w:val="32"/>
        </w:rPr>
        <w:t>坚持以提升劳动者技能为抓手，建立健全劳动者终身职业技能培训体系，大规模开展高质量的职业技能培训，落实培训补贴政策，提高培训质量，全方位提升劳动者就业创业能力。充分发挥州内技工院校、职业院校和龙头企业资源优势，积极推行企业新型学徒制、互联网+职业培训等培训模式，在企业、院校试点建立企业职工培训中心、公共实训基地培养紧缺急需技能人才。</w:t>
      </w:r>
      <w:r>
        <w:rPr>
          <w:rFonts w:hint="eastAsia" w:ascii="仿宋_GB2312" w:hAnsi="仿宋_GB2312" w:eastAsia="仿宋_GB2312" w:cs="仿宋_GB2312"/>
          <w:sz w:val="32"/>
          <w:szCs w:val="32"/>
          <w:highlight w:val="none"/>
        </w:rPr>
        <w:t>“十四五”期末，全州技能劳动者占就业人员总量的比例达到</w:t>
      </w:r>
      <w:r>
        <w:rPr>
          <w:rFonts w:eastAsia="仿宋_GB2312"/>
          <w:sz w:val="32"/>
          <w:szCs w:val="32"/>
          <w:highlight w:val="none"/>
        </w:rPr>
        <w:t>10%</w:t>
      </w:r>
      <w:r>
        <w:rPr>
          <w:rFonts w:hAnsi="仿宋_GB2312" w:eastAsia="仿宋_GB2312"/>
          <w:sz w:val="32"/>
          <w:szCs w:val="32"/>
          <w:highlight w:val="none"/>
        </w:rPr>
        <w:t>，高技能人才占技能劳动者的比例达到</w:t>
      </w:r>
      <w:r>
        <w:rPr>
          <w:rFonts w:eastAsia="仿宋_GB2312"/>
          <w:sz w:val="32"/>
          <w:szCs w:val="32"/>
          <w:highlight w:val="none"/>
        </w:rPr>
        <w:t>18%</w:t>
      </w:r>
      <w:r>
        <w:rPr>
          <w:rFonts w:hAnsi="仿宋_GB2312" w:eastAsia="仿宋_GB2312"/>
          <w:sz w:val="32"/>
          <w:szCs w:val="32"/>
          <w:highlight w:val="none"/>
        </w:rPr>
        <w:t>，实现跨越提升。</w:t>
      </w:r>
    </w:p>
    <w:p>
      <w:pPr>
        <w:pStyle w:val="10"/>
        <w:snapToGrid w:val="0"/>
        <w:spacing w:after="0" w:line="360" w:lineRule="auto"/>
        <w:ind w:firstLine="640" w:firstLineChars="200"/>
        <w:jc w:val="left"/>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——支持鼓励发展壮大技工教育。</w:t>
      </w:r>
      <w:r>
        <w:rPr>
          <w:rFonts w:hint="eastAsia" w:ascii="仿宋_GB2312" w:hAnsi="仿宋_GB2312" w:eastAsia="仿宋_GB2312" w:cs="仿宋_GB2312"/>
          <w:sz w:val="32"/>
          <w:szCs w:val="32"/>
        </w:rPr>
        <w:t>深化技能人才培养体制改革，不断扩大技工院校办学规模和水平，</w:t>
      </w:r>
      <w:r>
        <w:rPr>
          <w:rFonts w:hint="eastAsia" w:ascii="仿宋_GB2312" w:hAnsi="仿宋_GB2312" w:eastAsia="仿宋_GB2312" w:cs="仿宋_GB2312"/>
          <w:color w:val="auto"/>
          <w:sz w:val="32"/>
          <w:szCs w:val="32"/>
          <w:highlight w:val="none"/>
          <w:u w:val="none"/>
          <w:lang w:val="en-US" w:eastAsia="zh-CN"/>
        </w:rPr>
        <w:t>促进职业教育与技工教育融合发展，</w:t>
      </w:r>
      <w:r>
        <w:rPr>
          <w:rFonts w:hint="eastAsia" w:ascii="仿宋_GB2312" w:hAnsi="仿宋_GB2312" w:eastAsia="仿宋_GB2312" w:cs="仿宋_GB2312"/>
          <w:color w:val="auto"/>
          <w:sz w:val="32"/>
          <w:szCs w:val="32"/>
          <w:highlight w:val="none"/>
          <w:u w:val="none"/>
        </w:rPr>
        <w:t>加大高技能人才培养力度。推行“学历证书+职业技能等级证书”制度，</w:t>
      </w:r>
      <w:r>
        <w:rPr>
          <w:rFonts w:hint="eastAsia" w:ascii="仿宋_GB2312" w:hAnsi="仿宋_GB2312" w:eastAsia="仿宋_GB2312" w:cs="仿宋_GB2312"/>
          <w:color w:val="auto"/>
          <w:sz w:val="32"/>
          <w:szCs w:val="32"/>
          <w:highlight w:val="none"/>
          <w:u w:val="none"/>
          <w:lang w:val="en-US" w:eastAsia="zh-CN"/>
        </w:rPr>
        <w:t>推进技工教育学历证书“双认证”制度，</w:t>
      </w:r>
      <w:r>
        <w:rPr>
          <w:rFonts w:hint="eastAsia" w:ascii="仿宋_GB2312" w:hAnsi="仿宋_GB2312" w:eastAsia="仿宋_GB2312" w:cs="仿宋_GB2312"/>
          <w:sz w:val="32"/>
          <w:szCs w:val="32"/>
        </w:rPr>
        <w:t>建立产教融合、校企合作的技能人才培养模式，培养支撑社会经济发展的技能人才队伍。支持和规范社会力量兴办技工教育，“十四五”期间，全州新</w:t>
      </w:r>
      <w:r>
        <w:rPr>
          <w:rFonts w:hint="eastAsia" w:hAnsi="仿宋_GB2312" w:eastAsia="仿宋_GB2312"/>
          <w:sz w:val="32"/>
          <w:szCs w:val="32"/>
        </w:rPr>
        <w:t>增</w:t>
      </w:r>
      <w:r>
        <w:rPr>
          <w:rFonts w:eastAsia="仿宋_GB2312"/>
          <w:sz w:val="32"/>
          <w:szCs w:val="32"/>
        </w:rPr>
        <w:t>1</w:t>
      </w:r>
      <w:r>
        <w:rPr>
          <w:rFonts w:hint="eastAsia" w:eastAsia="仿宋_GB2312"/>
          <w:sz w:val="32"/>
          <w:szCs w:val="32"/>
        </w:rPr>
        <w:t>—</w:t>
      </w:r>
      <w:r>
        <w:rPr>
          <w:rFonts w:eastAsia="仿宋_GB2312"/>
          <w:sz w:val="32"/>
          <w:szCs w:val="32"/>
        </w:rPr>
        <w:t>2</w:t>
      </w:r>
      <w:r>
        <w:rPr>
          <w:rFonts w:hint="eastAsia" w:hAnsi="仿宋_GB2312" w:eastAsia="仿宋_GB2312"/>
          <w:sz w:val="32"/>
          <w:szCs w:val="32"/>
        </w:rPr>
        <w:t>家</w:t>
      </w:r>
      <w:r>
        <w:rPr>
          <w:rFonts w:hint="eastAsia" w:ascii="仿宋_GB2312" w:hAnsi="仿宋_GB2312" w:eastAsia="仿宋_GB2312" w:cs="仿宋_GB2312"/>
          <w:sz w:val="32"/>
          <w:szCs w:val="32"/>
        </w:rPr>
        <w:t>民办技工院校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壮大“黔南技工”发展基础，培育建设一批优质技工院校和特色专业，推进“黔南技工”技能人才品牌培育建设。充分发挥贵州省电子信息技师学院、贵州应用技术技师学院高技能人才培训基地、世界技能大赛国家集训基地、技能大师工作室等平台作用，加快黔南民族职业技术学院广黔技能人才培养公共实训基地建设，构建完善技能人才培养体系。加强统筹协调，促进企业和技工院校成为技能人才培养的“双主体”，推行企业新型学徒制，校企联合培养新模式。建立师资轮训制度，加大对技工院校教师的培训力度。积极争取罗甸、三都国家乡村振兴重点县建设技工院校，培育一批乡村振兴技能人才。</w:t>
      </w:r>
    </w:p>
    <w:p>
      <w:pPr>
        <w:snapToGrid w:val="0"/>
        <w:spacing w:line="360" w:lineRule="auto"/>
        <w:ind w:firstLine="640" w:firstLineChars="200"/>
        <w:textAlignment w:val="baseline"/>
        <w:rPr>
          <w:rFonts w:ascii="仿宋_GB2312" w:hAnsi="仿宋_GB2312" w:eastAsia="仿宋_GB2312" w:cs="仿宋_GB2312"/>
          <w:sz w:val="32"/>
          <w:szCs w:val="32"/>
          <w:shd w:val="clear" w:color="auto" w:fill="FFFFFF"/>
        </w:rPr>
      </w:pPr>
      <w:r>
        <w:rPr>
          <w:rFonts w:hint="eastAsia" w:ascii="楷体_GB2312" w:hAnsi="楷体_GB2312" w:eastAsia="楷体_GB2312" w:cs="楷体_GB2312"/>
          <w:bCs/>
          <w:sz w:val="32"/>
          <w:szCs w:val="32"/>
        </w:rPr>
        <w:t>——完善多元化技能人才评价体系。</w:t>
      </w:r>
      <w:r>
        <w:rPr>
          <w:rFonts w:hint="eastAsia" w:ascii="仿宋_GB2312" w:hAnsi="仿宋_GB2312" w:eastAsia="仿宋_GB2312" w:cs="仿宋_GB2312"/>
          <w:sz w:val="32"/>
          <w:szCs w:val="32"/>
        </w:rPr>
        <w:t>鼓励支持技工院校、职业院校、行业协会申请作为职业技能等级认定、专项职业能力考核第三方评价机构；支持符合条件的企业自主开展职业技能等级评价工作。严格执行国家职业资格管理制度、职业技能培训标准，统筹做好通用职业工种、行业特有职业工种技能评价工作。大力开展职业技能等级认定，支持培训和评价机构建立同业交流平台，定期发布职业技能评价工种目录清单和职业技能评价公告，建立职业技能等级评价机构信用管理制度和退出机制。围绕“四新”主攻“四化”，鼓励和支持各级各部门</w:t>
      </w:r>
      <w:r>
        <w:rPr>
          <w:rFonts w:hint="eastAsia" w:eastAsia="仿宋_GB2312"/>
          <w:sz w:val="32"/>
          <w:szCs w:val="32"/>
        </w:rPr>
        <w:t>举办综合性职业技能大赛或行业性职业技能大赛。</w:t>
      </w:r>
      <w:r>
        <w:rPr>
          <w:rFonts w:hint="eastAsia" w:ascii="仿宋_GB2312" w:hAnsi="仿宋_GB2312" w:eastAsia="仿宋_GB2312" w:cs="仿宋_GB2312"/>
          <w:sz w:val="32"/>
          <w:szCs w:val="32"/>
          <w:shd w:val="clear" w:color="auto" w:fill="FFFFFF"/>
        </w:rPr>
        <w:t>鼓励优秀技能人才申报领办国家级、省级技能大师工作室，并给予政策资金扶持。对在世界职业技能大赛、全国职业技能大赛、贵州省职业技能大赛、黔南州职业技能大赛中获奖的优秀技术技能人才，符合条件的授予“黔南州技术能手”“黔南工匠”“黔南州五一劳动奖章”等荣誉，并按照有关规定予以表彰奖励。</w:t>
      </w:r>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——大力实施职业技能提升工程</w:t>
      </w:r>
      <w:bookmarkStart w:id="278" w:name="_Toc20385"/>
      <w:r>
        <w:rPr>
          <w:rFonts w:hint="eastAsia" w:ascii="楷体_GB2312" w:hAnsi="楷体_GB2312" w:eastAsia="楷体_GB2312" w:cs="楷体_GB2312"/>
          <w:bCs/>
          <w:sz w:val="32"/>
          <w:szCs w:val="32"/>
        </w:rPr>
        <w:t>。</w:t>
      </w:r>
      <w:r>
        <w:rPr>
          <w:rFonts w:hint="eastAsia" w:ascii="仿宋_GB2312" w:hAnsi="仿宋_GB2312" w:eastAsia="仿宋_GB2312" w:cs="仿宋_GB2312"/>
          <w:sz w:val="32"/>
          <w:szCs w:val="32"/>
        </w:rPr>
        <w:t>坚持需求导向、结果导向，按照培训信息公开化、培训项目目录化、培训评价即时化、培训资源集成化、资金使用有效化的工作思路，深入开展职业技能提升行动。</w:t>
      </w:r>
      <w:bookmarkEnd w:id="278"/>
      <w:bookmarkStart w:id="279" w:name="_Toc75860079"/>
    </w:p>
    <w:p>
      <w:pPr>
        <w:pStyle w:val="23"/>
        <w:snapToGrid w:val="0"/>
        <w:textAlignment w:val="baseline"/>
        <w:rPr>
          <w:rFonts w:ascii="黑体" w:hAnsi="黑体" w:eastAsia="黑体" w:cs="仿宋_GB2312"/>
          <w:b w:val="0"/>
          <w:bCs w:val="0"/>
          <w:kern w:val="0"/>
          <w:sz w:val="28"/>
          <w:szCs w:val="28"/>
        </w:rPr>
      </w:pPr>
      <w:bookmarkStart w:id="280" w:name="_Toc90584051"/>
      <w:bookmarkStart w:id="281" w:name="_Toc16366"/>
      <w:bookmarkStart w:id="282" w:name="_Toc25834"/>
      <w:bookmarkStart w:id="283" w:name="_Toc27730"/>
      <w:bookmarkStart w:id="284" w:name="_Toc3936"/>
      <w:bookmarkStart w:id="285" w:name="_Toc31857"/>
      <w:bookmarkStart w:id="286" w:name="_Toc21944"/>
      <w:bookmarkStart w:id="287" w:name="_Toc30787"/>
      <w:bookmarkStart w:id="288" w:name="_Toc20013"/>
      <w:bookmarkStart w:id="289" w:name="_Toc18360"/>
      <w:r>
        <w:rPr>
          <w:rFonts w:hint="eastAsia" w:ascii="黑体" w:hAnsi="黑体" w:eastAsia="黑体" w:cs="仿宋_GB2312"/>
          <w:b w:val="0"/>
          <w:kern w:val="0"/>
          <w:sz w:val="28"/>
          <w:szCs w:val="28"/>
        </w:rPr>
        <w:t>专栏</w:t>
      </w:r>
      <w:r>
        <w:rPr>
          <w:rFonts w:ascii="Times New Roman" w:hAnsi="Times New Roman" w:eastAsia="黑体" w:cs="Times New Roman"/>
          <w:b w:val="0"/>
          <w:kern w:val="0"/>
          <w:sz w:val="28"/>
          <w:szCs w:val="28"/>
        </w:rPr>
        <w:t>8</w:t>
      </w:r>
      <w:r>
        <w:rPr>
          <w:rFonts w:hint="eastAsia" w:ascii="黑体" w:hAnsi="黑体" w:eastAsia="黑体"/>
          <w:b w:val="0"/>
          <w:kern w:val="0"/>
          <w:sz w:val="28"/>
          <w:szCs w:val="28"/>
        </w:rPr>
        <w:t>职业</w:t>
      </w:r>
      <w:r>
        <w:rPr>
          <w:rFonts w:hint="eastAsia" w:ascii="黑体" w:hAnsi="黑体" w:eastAsia="黑体" w:cs="仿宋_GB2312"/>
          <w:b w:val="0"/>
          <w:kern w:val="0"/>
          <w:sz w:val="28"/>
          <w:szCs w:val="28"/>
        </w:rPr>
        <w:t>技能提升工程</w:t>
      </w:r>
      <w:bookmarkEnd w:id="279"/>
      <w:bookmarkEnd w:id="280"/>
      <w:bookmarkEnd w:id="281"/>
      <w:bookmarkEnd w:id="282"/>
      <w:bookmarkEnd w:id="283"/>
      <w:bookmarkEnd w:id="284"/>
      <w:bookmarkEnd w:id="285"/>
      <w:bookmarkEnd w:id="286"/>
      <w:bookmarkEnd w:id="287"/>
      <w:bookmarkEnd w:id="288"/>
      <w:bookmarkEnd w:id="289"/>
    </w:p>
    <w:tbl>
      <w:tblPr>
        <w:tblStyle w:val="2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jc w:val="center"/>
              <w:textAlignment w:val="baseline"/>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名称</w:t>
            </w:r>
          </w:p>
        </w:tc>
        <w:tc>
          <w:tcPr>
            <w:tcW w:w="794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黑体" w:eastAsia="仿宋_GB2312" w:cs="仿宋"/>
                <w:bCs/>
                <w:kern w:val="0"/>
                <w:sz w:val="24"/>
                <w:szCs w:val="24"/>
              </w:rPr>
            </w:pPr>
            <w:r>
              <w:rPr>
                <w:rFonts w:hint="eastAsia" w:ascii="仿宋_GB2312" w:hAnsi="黑体" w:eastAsia="仿宋_GB2312" w:cs="仿宋_GB2312"/>
                <w:kern w:val="0"/>
                <w:sz w:val="24"/>
                <w:szCs w:val="24"/>
              </w:rPr>
              <w:t>重点产业人才培养计 划</w:t>
            </w:r>
          </w:p>
        </w:tc>
        <w:tc>
          <w:tcPr>
            <w:tcW w:w="7945"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按照动态清单化、目录化、菜单式的培训模式，围绕“六大工程”（实施实体经济引领工程、乡村振兴引领工程、创新黔南引领工程、绿色黔南引领工程、智慧黔南引领工程、民族团结示范引领工程）和“六大产业”（茶叶、蔬菜、水果、刺梨、生态畜牧、中药材）和高质量发展培训人才，广泛开展职业技能提升培训，加大农村转移就业劳动力、高校毕业生、返乡人员、退役军人等重点群体技能帮扶力度，构筑开放多元的职业培训体系，增强各类人才适应经济社会发展和服务地方经济社会的本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黑体" w:eastAsia="仿宋_GB2312" w:cs="仿宋"/>
                <w:bCs/>
                <w:kern w:val="0"/>
                <w:sz w:val="24"/>
                <w:szCs w:val="24"/>
              </w:rPr>
            </w:pPr>
            <w:r>
              <w:rPr>
                <w:rFonts w:hint="eastAsia" w:ascii="仿宋_GB2312" w:hAnsi="黑体" w:eastAsia="仿宋_GB2312" w:cs="仿宋_GB2312"/>
                <w:kern w:val="0"/>
                <w:sz w:val="24"/>
                <w:szCs w:val="24"/>
              </w:rPr>
              <w:t>实施岗位培训行 动</w:t>
            </w:r>
          </w:p>
        </w:tc>
        <w:tc>
          <w:tcPr>
            <w:tcW w:w="7945"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重点围绕企业职工、乡村人才开展岗前培训和岗位提升培训。实施新职工岗位适应、新型学徒培养、高危行业安全技能提升行动，实施岗位培训提升、高技能人才培养、技能大师工作室创新等培训计划。推行用工单位新录用人员先招用、再培训、后上岗的岗前培训制度。鼓励企业开展在岗培训、脱产培训、在线学习等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hint="eastAsia" w:ascii="仿宋_GB2312" w:hAnsi="黑体" w:eastAsia="仿宋_GB2312" w:cs="仿宋_GB2312"/>
                <w:kern w:val="0"/>
                <w:sz w:val="24"/>
                <w:szCs w:val="24"/>
                <w:lang w:eastAsia="zh-CN"/>
              </w:rPr>
            </w:pPr>
            <w:r>
              <w:rPr>
                <w:rFonts w:hint="eastAsia" w:ascii="仿宋_GB2312" w:hAnsi="黑体" w:eastAsia="仿宋_GB2312" w:cs="仿宋_GB2312"/>
                <w:kern w:val="0"/>
                <w:sz w:val="24"/>
                <w:szCs w:val="24"/>
              </w:rPr>
              <w:t>技能赛事</w:t>
            </w:r>
            <w:r>
              <w:rPr>
                <w:rFonts w:hint="eastAsia" w:ascii="仿宋_GB2312" w:hAnsi="黑体" w:eastAsia="仿宋_GB2312" w:cs="仿宋_GB2312"/>
                <w:kern w:val="0"/>
                <w:sz w:val="24"/>
                <w:szCs w:val="24"/>
                <w:lang w:eastAsia="zh-CN"/>
              </w:rPr>
              <w:t>引领计</w:t>
            </w:r>
            <w:r>
              <w:rPr>
                <w:rFonts w:hint="eastAsia" w:ascii="仿宋_GB2312" w:hAnsi="黑体" w:eastAsia="仿宋_GB2312" w:cs="仿宋_GB2312"/>
                <w:kern w:val="0"/>
                <w:sz w:val="24"/>
                <w:szCs w:val="24"/>
                <w:lang w:val="en-US" w:eastAsia="zh-CN"/>
              </w:rPr>
              <w:t xml:space="preserve"> </w:t>
            </w:r>
            <w:r>
              <w:rPr>
                <w:rFonts w:hint="eastAsia" w:ascii="仿宋_GB2312" w:hAnsi="黑体" w:eastAsia="仿宋_GB2312" w:cs="仿宋_GB2312"/>
                <w:kern w:val="0"/>
                <w:sz w:val="24"/>
                <w:szCs w:val="24"/>
                <w:lang w:eastAsia="zh-CN"/>
              </w:rPr>
              <w:t>划</w:t>
            </w:r>
          </w:p>
        </w:tc>
        <w:tc>
          <w:tcPr>
            <w:tcW w:w="794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hint="eastAsia" w:ascii="仿宋_GB2312" w:hAnsi="黑体" w:eastAsia="仿宋_GB2312" w:cs="仿宋_GB2312"/>
                <w:kern w:val="0"/>
                <w:sz w:val="24"/>
                <w:szCs w:val="24"/>
              </w:rPr>
            </w:pPr>
            <w:r>
              <w:rPr>
                <w:rFonts w:hint="eastAsia" w:ascii="仿宋_GB2312" w:hAnsi="黑体" w:eastAsia="仿宋_GB2312" w:cs="仿宋_GB2312"/>
                <w:kern w:val="0"/>
                <w:sz w:val="24"/>
                <w:szCs w:val="24"/>
              </w:rPr>
              <w:t>充分发挥高职高专、贵州省电子信息技师学院、贵州应用技术技师学院作为高技能人才培训基地、世界技能大赛国家集训基地、技能大师工作室等平台作用，大力培养高技能人才。围绕“四新”主攻“四化”，鼓励和支持各级各部门大力举办综合性职业技能大赛或行业性职业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黑体" w:eastAsia="仿宋_GB2312" w:cs="仿宋_GB2312"/>
                <w:kern w:val="0"/>
                <w:sz w:val="24"/>
                <w:szCs w:val="24"/>
              </w:rPr>
            </w:pPr>
            <w:r>
              <w:rPr>
                <w:rFonts w:hint="eastAsia" w:ascii="仿宋_GB2312" w:hAnsi="黑体" w:eastAsia="仿宋_GB2312" w:cs="仿宋_GB2312"/>
                <w:kern w:val="0"/>
                <w:sz w:val="24"/>
                <w:szCs w:val="24"/>
              </w:rPr>
              <w:t>提升培训主体供给工 程</w:t>
            </w:r>
          </w:p>
        </w:tc>
        <w:tc>
          <w:tcPr>
            <w:tcW w:w="7945"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扩大培训资源供给，支持企业设立培训中心，加强技能人才公共实训基地建设。支持技工院校、职业院校开展职业技能培训。鼓励支持社会力量开展职业技能培训和评价工作，建立评价工作质量监管体系。推行职业技能等级认定制度，推进职业技能培训清单化管理，加快职业培训管理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黑体" w:eastAsia="仿宋_GB2312" w:cs="仿宋_GB2312"/>
                <w:sz w:val="24"/>
                <w:szCs w:val="24"/>
              </w:rPr>
            </w:pPr>
            <w:r>
              <w:rPr>
                <w:rFonts w:hint="eastAsia" w:ascii="仿宋_GB2312" w:hAnsi="黑体" w:eastAsia="仿宋_GB2312" w:cs="仿宋_GB2312"/>
                <w:sz w:val="24"/>
                <w:szCs w:val="24"/>
              </w:rPr>
              <w:t>实施职业技能提升工 程</w:t>
            </w:r>
          </w:p>
        </w:tc>
        <w:tc>
          <w:tcPr>
            <w:tcW w:w="7945"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sz w:val="20"/>
              </w:rPr>
            </w:pPr>
            <w:r>
              <w:rPr>
                <w:rFonts w:hint="eastAsia" w:ascii="仿宋_GB2312" w:hAnsi="宋体" w:eastAsia="仿宋_GB2312" w:cs="仿宋_GB2312"/>
                <w:bCs/>
                <w:sz w:val="24"/>
                <w:szCs w:val="24"/>
              </w:rPr>
              <w:t>从相关职能部门、行业企业、院校和基层一线中选聘兼职教师建立培训师资人才库。引进州外优质培训机构落地黔南，鼓励州内国有企业、社会资本等投资新建和发展壮大培训机构。每个县（市）以农业、工业、服务业等各行业产业园区为载体，分别创</w:t>
            </w:r>
            <w:r>
              <w:rPr>
                <w:rFonts w:hint="eastAsia" w:ascii="仿宋_GB2312" w:hAnsi="宋体" w:eastAsia="仿宋_GB2312"/>
                <w:bCs/>
                <w:sz w:val="24"/>
                <w:szCs w:val="24"/>
              </w:rPr>
              <w:t>建</w:t>
            </w:r>
            <w:r>
              <w:rPr>
                <w:rFonts w:hint="default" w:ascii="Times New Roman" w:hAnsi="Times New Roman" w:eastAsia="仿宋_GB2312" w:cs="Times New Roman"/>
                <w:bCs/>
                <w:sz w:val="24"/>
                <w:szCs w:val="24"/>
              </w:rPr>
              <w:t>1—2</w:t>
            </w:r>
            <w:r>
              <w:rPr>
                <w:rFonts w:hint="eastAsia" w:ascii="仿宋_GB2312" w:hAnsi="宋体" w:eastAsia="仿宋_GB2312"/>
                <w:bCs/>
                <w:sz w:val="24"/>
                <w:szCs w:val="24"/>
              </w:rPr>
              <w:t>个</w:t>
            </w:r>
            <w:r>
              <w:rPr>
                <w:rFonts w:hint="eastAsia" w:ascii="仿宋_GB2312" w:hAnsi="宋体" w:eastAsia="仿宋_GB2312" w:cs="仿宋_GB2312"/>
                <w:bCs/>
                <w:sz w:val="24"/>
                <w:szCs w:val="24"/>
              </w:rPr>
              <w:t>企业职工培训中心或</w:t>
            </w:r>
            <w:r>
              <w:rPr>
                <w:rFonts w:hint="eastAsia" w:ascii="仿宋_GB2312" w:hAnsi="宋体" w:eastAsia="仿宋_GB2312"/>
                <w:bCs/>
                <w:sz w:val="24"/>
                <w:szCs w:val="24"/>
              </w:rPr>
              <w:t>公共实训</w:t>
            </w:r>
            <w:r>
              <w:rPr>
                <w:rFonts w:hint="eastAsia" w:ascii="仿宋_GB2312" w:hAnsi="宋体" w:eastAsia="仿宋_GB2312" w:cs="仿宋_GB2312"/>
                <w:bCs/>
                <w:sz w:val="24"/>
                <w:szCs w:val="24"/>
              </w:rPr>
              <w:t>基地，着力培育技能人才。鼓励优秀技能人才申报领办国家级、省级技能大师工作室，并给予政策资金扶持。</w:t>
            </w:r>
          </w:p>
        </w:tc>
      </w:tr>
    </w:tbl>
    <w:p>
      <w:pPr>
        <w:snapToGrid w:val="0"/>
        <w:textAlignment w:val="baseline"/>
        <w:rPr>
          <w:sz w:val="20"/>
        </w:rPr>
      </w:pPr>
    </w:p>
    <w:p>
      <w:pPr>
        <w:pStyle w:val="46"/>
        <w:snapToGrid w:val="0"/>
        <w:spacing w:line="576" w:lineRule="exact"/>
        <w:ind w:firstLine="640"/>
        <w:textAlignment w:val="baseline"/>
        <w:rPr>
          <w:rFonts w:ascii="仿宋_GB2312" w:hAnsi="仿宋_GB2312" w:eastAsia="仿宋_GB2312" w:cs="仿宋_GB2312"/>
          <w:bCs/>
          <w:sz w:val="32"/>
          <w:szCs w:val="32"/>
        </w:rPr>
      </w:pPr>
    </w:p>
    <w:p>
      <w:pPr>
        <w:pStyle w:val="4"/>
        <w:snapToGrid w:val="0"/>
        <w:jc w:val="center"/>
        <w:textAlignment w:val="baseline"/>
        <w:rPr>
          <w:lang w:bidi="ar"/>
        </w:rPr>
      </w:pPr>
      <w:bookmarkStart w:id="290" w:name="_Toc19050"/>
      <w:bookmarkStart w:id="291" w:name="_Toc6839"/>
      <w:bookmarkStart w:id="292" w:name="_Toc23418"/>
      <w:bookmarkStart w:id="293" w:name="_Toc20726"/>
      <w:bookmarkStart w:id="294" w:name="_Toc7095"/>
      <w:bookmarkStart w:id="295" w:name="_Toc6531"/>
      <w:r>
        <w:rPr>
          <w:rFonts w:hint="eastAsia"/>
          <w:lang w:bidi="ar"/>
        </w:rPr>
        <w:t xml:space="preserve">第四节 </w:t>
      </w:r>
      <w:r>
        <w:rPr>
          <w:rFonts w:hint="eastAsia" w:ascii="Arial" w:hAnsi="Arial"/>
        </w:rPr>
        <w:t>围绕“四化”加快人才队伍建设</w:t>
      </w:r>
      <w:bookmarkEnd w:id="290"/>
      <w:bookmarkEnd w:id="291"/>
      <w:bookmarkEnd w:id="292"/>
    </w:p>
    <w:p>
      <w:pPr>
        <w:snapToGrid w:val="0"/>
        <w:spacing w:line="360" w:lineRule="auto"/>
        <w:ind w:firstLine="640" w:firstLineChars="200"/>
        <w:textAlignment w:val="baseline"/>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实施重点人才计划，为深入实施乡村振兴、大数据、大生态三大战略行动和推动新型工业化、新型城镇化、农业现代化、旅游产业化提供人才保障。</w:t>
      </w:r>
    </w:p>
    <w:p>
      <w:pPr>
        <w:snapToGrid w:val="0"/>
        <w:spacing w:line="360" w:lineRule="auto"/>
        <w:ind w:firstLine="640" w:firstLineChars="200"/>
        <w:textAlignment w:val="baseline"/>
        <w:rPr>
          <w:rFonts w:ascii="仿宋_GB2312" w:hAnsi="仿宋_GB2312" w:eastAsia="仿宋_GB2312" w:cs="仿宋_GB2312"/>
          <w:kern w:val="0"/>
          <w:sz w:val="32"/>
          <w:szCs w:val="32"/>
          <w:lang w:bidi="ar"/>
        </w:rPr>
      </w:pPr>
      <w:r>
        <w:rPr>
          <w:rFonts w:hint="eastAsia" w:ascii="楷体_GB2312" w:hAnsi="楷体_GB2312" w:eastAsia="楷体_GB2312" w:cs="楷体_GB2312"/>
          <w:bCs/>
          <w:sz w:val="32"/>
          <w:szCs w:val="32"/>
        </w:rPr>
        <w:t>——加快新型工业化人才队伍建设。</w:t>
      </w:r>
      <w:r>
        <w:rPr>
          <w:rFonts w:hint="eastAsia" w:ascii="仿宋_GB2312" w:hAnsi="仿宋_GB2312" w:eastAsia="仿宋_GB2312" w:cs="仿宋_GB2312"/>
          <w:kern w:val="0"/>
          <w:sz w:val="32"/>
          <w:szCs w:val="32"/>
          <w:lang w:bidi="ar"/>
        </w:rPr>
        <w:t>把加速推进新型工业化作为经济高质量发展的首要任务，围绕构建高质量发展工业产业体系，实施工业倍增行动，以工业产业集群发展为重点，以产业大招商为抓手，探索构建重点产业人才+重大产业项目的互动招引机制，着力引进一批引领新型工业化发展的领军人才和创新团队。聚焦企业科学规范管理、工业设备升级、智能化改造、新产品开发、产品贮运等关键技术突破、生产工艺改进、检测技术创新，建设一批技术创新平台和人才培养平台，培养引进一批企业经营管理人才、专业技术人才和技能人才，打造一支高素质黔南工业企业家人才队伍。到2025年，工业产业人才规模达到12万人，其中重点人才规模达到9万人。</w:t>
      </w:r>
    </w:p>
    <w:p>
      <w:pPr>
        <w:pStyle w:val="2"/>
        <w:snapToGrid w:val="0"/>
        <w:textAlignment w:val="baseline"/>
      </w:pPr>
    </w:p>
    <w:p>
      <w:pPr>
        <w:pStyle w:val="23"/>
        <w:snapToGrid w:val="0"/>
        <w:textAlignment w:val="baseline"/>
        <w:rPr>
          <w:rFonts w:ascii="黑体" w:hAnsi="黑体" w:eastAsia="黑体" w:cs="仿宋_GB2312"/>
          <w:b w:val="0"/>
          <w:bCs w:val="0"/>
          <w:kern w:val="0"/>
          <w:sz w:val="28"/>
          <w:szCs w:val="28"/>
        </w:rPr>
      </w:pPr>
      <w:bookmarkStart w:id="296" w:name="_Toc19060"/>
      <w:bookmarkStart w:id="297" w:name="_Toc19955"/>
      <w:bookmarkStart w:id="298" w:name="_Toc5544"/>
      <w:bookmarkStart w:id="299" w:name="_Toc2892"/>
      <w:bookmarkStart w:id="300" w:name="_Toc8180"/>
      <w:bookmarkStart w:id="301" w:name="_Toc12152"/>
      <w:bookmarkStart w:id="302" w:name="_Toc3964"/>
      <w:bookmarkStart w:id="303" w:name="_Toc18080"/>
      <w:bookmarkStart w:id="304" w:name="_Toc29365"/>
      <w:bookmarkStart w:id="305" w:name="_Toc16475"/>
      <w:r>
        <w:rPr>
          <w:rFonts w:hint="eastAsia" w:ascii="黑体" w:hAnsi="黑体" w:eastAsia="黑体" w:cs="仿宋_GB2312"/>
          <w:b w:val="0"/>
          <w:kern w:val="0"/>
          <w:sz w:val="28"/>
          <w:szCs w:val="28"/>
        </w:rPr>
        <w:t>专栏</w:t>
      </w:r>
      <w:r>
        <w:rPr>
          <w:rFonts w:hint="eastAsia" w:ascii="Times New Roman" w:hAnsi="Times New Roman" w:eastAsia="黑体" w:cs="Times New Roman"/>
          <w:b w:val="0"/>
          <w:kern w:val="0"/>
          <w:sz w:val="28"/>
          <w:szCs w:val="28"/>
        </w:rPr>
        <w:t>9</w:t>
      </w:r>
      <w:r>
        <w:rPr>
          <w:rFonts w:ascii="黑体" w:hAnsi="黑体" w:eastAsia="黑体"/>
          <w:b w:val="0"/>
          <w:kern w:val="0"/>
          <w:sz w:val="28"/>
          <w:szCs w:val="28"/>
        </w:rPr>
        <w:t xml:space="preserve">  </w:t>
      </w:r>
      <w:r>
        <w:rPr>
          <w:rFonts w:hint="eastAsia" w:ascii="黑体" w:hAnsi="黑体" w:eastAsia="黑体" w:cs="仿宋_GB2312"/>
          <w:b w:val="0"/>
          <w:kern w:val="0"/>
          <w:sz w:val="28"/>
          <w:szCs w:val="28"/>
        </w:rPr>
        <w:t>实施“新型工业化”人才培育工程</w:t>
      </w:r>
      <w:bookmarkEnd w:id="296"/>
      <w:bookmarkEnd w:id="297"/>
      <w:bookmarkEnd w:id="298"/>
      <w:bookmarkEnd w:id="299"/>
      <w:bookmarkEnd w:id="300"/>
      <w:bookmarkEnd w:id="301"/>
      <w:bookmarkEnd w:id="302"/>
      <w:bookmarkEnd w:id="303"/>
      <w:bookmarkEnd w:id="304"/>
      <w:bookmarkEnd w:id="305"/>
    </w:p>
    <w:tbl>
      <w:tblPr>
        <w:tblStyle w:val="2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优质烟酒产业人才</w:t>
            </w:r>
          </w:p>
        </w:tc>
        <w:tc>
          <w:tcPr>
            <w:tcW w:w="7751" w:type="dxa"/>
          </w:tcPr>
          <w:p>
            <w:pPr>
              <w:widowControl w:val="0"/>
              <w:snapToGrid w:val="0"/>
              <w:spacing w:line="360" w:lineRule="exact"/>
              <w:ind w:firstLine="240" w:firstLineChars="1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集聚一批高素质烟农和卷烟新产品开发技术技能人才，围绕巩固酱香白酒品牌地位，努力造就一批国家级和省级酿酒大师、首席品酒师、白酒评委、工艺大师等。到2025年,聚集培养优质烟酒产业人才7800人。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p>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现代能源产业人才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焦煤炭、煤层气、页岩气、氢能、地热能等产业发展，以及火电转型升级、风电、太阳能、生物质发电项目建设，培养引进一批规划设计、勘探开发、技术改造、新能源技术研发、项目管理、运营维护、安全生产等方面的专业人才。到2025年，聚集培养能源产业人才11000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现代化工产业人才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聚焦磷化工精细化、煤化工新型化、特色化工高端化,培养引进一批新产品开发、固废利用技术研发及相关技术支撑人才。到2025年，聚集培养现代化工产业人才10000人。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基础材料产业人才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聚焦有色金属加工、新材料等产业发展，培养集聚一批资源勘查开发、矿产品精深加工、基础材料绿色发展等方面的技术技能人才。到2025年，聚集培养基础材料产业人才6500人。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生态特色食品产业人才</w:t>
            </w:r>
          </w:p>
        </w:tc>
        <w:tc>
          <w:tcPr>
            <w:tcW w:w="7751" w:type="dxa"/>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围绕加快发展生态特色食品加工，巩固</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贵州绿色食品形象</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，打造一支集精深加工、食品保质、标准制定、产品营销等为一体的人才队伍。到</w:t>
            </w:r>
            <w:r>
              <w:rPr>
                <w:rFonts w:hint="default" w:ascii="Times New Roman" w:hAnsi="Times New Roman" w:eastAsia="仿宋_GB2312" w:cs="Times New Roman"/>
                <w:kern w:val="0"/>
                <w:sz w:val="24"/>
                <w:szCs w:val="24"/>
              </w:rPr>
              <w:t>2025年，聚集培养生态特色食品产业人才9800</w:t>
            </w:r>
            <w:r>
              <w:rPr>
                <w:rFonts w:hint="eastAsia" w:ascii="仿宋_GB2312" w:hAnsi="宋体" w:eastAsia="仿宋_GB2312" w:cs="仿宋_GB2312"/>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健康医药产业人才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围绕民族医药、生物医药、特色药食材、医用材料、医疗器械及产业化等，培养聚集一批新药研发、药效提升、健康养生、销售推广等专业人才队伍。到2025年，聚集培养健康医药产业人才9900人。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hint="eastAsia" w:ascii="仿宋_GB2312" w:hAnsi="黑体" w:eastAsia="仿宋_GB2312" w:cs="仿宋_GB2312"/>
                <w:sz w:val="24"/>
                <w:szCs w:val="24"/>
              </w:rPr>
            </w:pPr>
            <w:r>
              <w:rPr>
                <w:rFonts w:hint="eastAsia" w:ascii="仿宋_GB2312" w:hAnsi="黑体" w:eastAsia="仿宋_GB2312" w:cs="仿宋_GB2312"/>
                <w:sz w:val="24"/>
                <w:szCs w:val="24"/>
              </w:rPr>
              <w:t>新型建材产业人才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聚焦新型墙材、新型装饰、水泥、预拌混凝土、石材等产业发展，培养引进一批创意设计、技术创新、生产加工等方面的技术技能人才。到2025年，聚集培养新型建材产业人才13000人。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6" w:type="dxa"/>
          </w:tcPr>
          <w:p>
            <w:pPr>
              <w:widowControl w:val="0"/>
              <w:snapToGrid w:val="0"/>
              <w:spacing w:line="360" w:lineRule="exact"/>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大数据电子信息制造产业人才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智能终端、锂离子电池、新型电子元件、新型显示设备、高性能服务器和计算机等，打造一支系统架构研究、关键技术应用、产品开发及制造为一体的技术技能人才队伍。到2025年，聚集培养大数据电子信息制造产业人才11000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先进装备制造产业人才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聚焦航空、航天、电力装备、工程及矿山机械、山地农机、食品加工装备、智能装备及其他特色装备等产业发展，引进培养一批关键技术攻关、工艺流程技术改造升级的技术技能人才。到2025年，聚集培养先进装备制造产业人才8000人</w:t>
            </w: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tcPr>
          <w:p>
            <w:pPr>
              <w:widowControl w:val="0"/>
              <w:snapToGrid w:val="0"/>
              <w:spacing w:line="360" w:lineRule="exact"/>
              <w:jc w:val="lef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新能源汽车产业人才</w:t>
            </w:r>
          </w:p>
        </w:tc>
        <w:tc>
          <w:tcPr>
            <w:tcW w:w="7751" w:type="dxa"/>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聚焦汽车产业转型升级、新能源汽车产业规模壮大发展，培养引进一批车辆工程、机械制造、自动化与智能化、市场营销等方面的专业人才。到2025年，聚集培养新能源汽车产业人才3000人。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top"/>
          </w:tcPr>
          <w:p>
            <w:pPr>
              <w:widowControl w:val="0"/>
              <w:snapToGrid w:val="0"/>
              <w:spacing w:line="360" w:lineRule="exact"/>
              <w:jc w:val="left"/>
              <w:textAlignment w:val="baseline"/>
              <w:rPr>
                <w:rFonts w:hint="eastAsia" w:ascii="仿宋_GB2312" w:hAnsi="宋体" w:eastAsia="仿宋_GB2312" w:cs="仿宋_GB2312"/>
                <w:color w:val="auto"/>
                <w:kern w:val="0"/>
                <w:sz w:val="24"/>
                <w:szCs w:val="24"/>
                <w:highlight w:val="none"/>
                <w:lang w:eastAsia="zh-CN"/>
              </w:rPr>
            </w:pPr>
            <w:r>
              <w:rPr>
                <w:rFonts w:hint="eastAsia" w:ascii="仿宋_GB2312" w:hAnsi="宋体" w:eastAsia="仿宋_GB2312" w:cs="仿宋_GB2312"/>
                <w:color w:val="auto"/>
                <w:kern w:val="0"/>
                <w:sz w:val="24"/>
                <w:szCs w:val="24"/>
                <w:highlight w:val="none"/>
                <w:lang w:val="en-US" w:eastAsia="zh-CN"/>
              </w:rPr>
              <w:t>民族特色手工产业人才</w:t>
            </w:r>
          </w:p>
        </w:tc>
        <w:tc>
          <w:tcPr>
            <w:tcW w:w="7751" w:type="dxa"/>
            <w:vAlign w:val="top"/>
          </w:tcPr>
          <w:p>
            <w:pPr>
              <w:widowControl w:val="0"/>
              <w:snapToGrid w:val="0"/>
              <w:spacing w:line="360" w:lineRule="exact"/>
              <w:ind w:firstLine="480" w:firstLineChars="200"/>
              <w:textAlignment w:val="baseline"/>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围绕民族刺绣</w:t>
            </w:r>
            <w:r>
              <w:rPr>
                <w:rFonts w:hint="default" w:ascii="Times New Roman" w:hAnsi="Times New Roman" w:eastAsia="仿宋_GB2312" w:cs="Times New Roman"/>
                <w:color w:val="auto"/>
                <w:kern w:val="0"/>
                <w:sz w:val="24"/>
                <w:szCs w:val="24"/>
                <w:highlight w:val="none"/>
                <w:lang w:eastAsia="zh-CN"/>
              </w:rPr>
              <w:t>、蜡染、银饰加工、手工织布、民族服装制作等民族特色手工产业，</w:t>
            </w:r>
            <w:r>
              <w:rPr>
                <w:rFonts w:hint="default" w:ascii="Times New Roman" w:hAnsi="Times New Roman" w:eastAsia="仿宋_GB2312" w:cs="Times New Roman"/>
                <w:color w:val="auto"/>
                <w:kern w:val="0"/>
                <w:sz w:val="24"/>
                <w:szCs w:val="24"/>
                <w:highlight w:val="none"/>
                <w:lang w:val="en-US" w:eastAsia="zh-CN"/>
              </w:rPr>
              <w:t>培养引进一批民族文化艺术传承、开发设计、产业创新人才，加大技能培训力度。到2025年，</w:t>
            </w:r>
            <w:r>
              <w:rPr>
                <w:rFonts w:hint="default" w:ascii="Times New Roman" w:hAnsi="Times New Roman" w:eastAsia="仿宋_GB2312" w:cs="Times New Roman"/>
                <w:color w:val="auto"/>
                <w:kern w:val="0"/>
                <w:sz w:val="24"/>
                <w:szCs w:val="24"/>
                <w:highlight w:val="none"/>
                <w:lang w:eastAsia="zh-CN"/>
              </w:rPr>
              <w:t>聚集培养民族特色手工产业人才</w:t>
            </w:r>
            <w:r>
              <w:rPr>
                <w:rFonts w:hint="default" w:ascii="Times New Roman" w:hAnsi="Times New Roman" w:eastAsia="仿宋_GB2312" w:cs="Times New Roman"/>
                <w:color w:val="auto"/>
                <w:kern w:val="0"/>
                <w:sz w:val="24"/>
                <w:szCs w:val="24"/>
                <w:highlight w:val="none"/>
                <w:lang w:val="en-US" w:eastAsia="zh-CN"/>
              </w:rPr>
              <w:t>3000</w:t>
            </w:r>
            <w:r>
              <w:rPr>
                <w:rFonts w:hint="default" w:ascii="Times New Roman" w:hAnsi="Times New Roman" w:eastAsia="仿宋_GB2312" w:cs="Times New Roman"/>
                <w:color w:val="auto"/>
                <w:kern w:val="0"/>
                <w:sz w:val="24"/>
                <w:szCs w:val="24"/>
                <w:highlight w:val="none"/>
                <w:lang w:eastAsia="zh-CN"/>
              </w:rPr>
              <w:t>人。</w:t>
            </w:r>
          </w:p>
        </w:tc>
      </w:tr>
    </w:tbl>
    <w:p>
      <w:pPr>
        <w:snapToGrid w:val="0"/>
        <w:spacing w:line="576" w:lineRule="exact"/>
        <w:ind w:firstLine="640" w:firstLineChars="200"/>
        <w:textAlignment w:val="baseline"/>
        <w:rPr>
          <w:rFonts w:ascii="仿宋_GB2312" w:hAnsi="仿宋_GB2312" w:eastAsia="仿宋_GB2312" w:cs="仿宋_GB2312"/>
          <w:kern w:val="0"/>
          <w:sz w:val="32"/>
          <w:szCs w:val="32"/>
          <w:lang w:bidi="ar"/>
        </w:rPr>
      </w:pPr>
    </w:p>
    <w:p>
      <w:pPr>
        <w:snapToGrid w:val="0"/>
        <w:spacing w:line="360" w:lineRule="auto"/>
        <w:ind w:firstLine="640" w:firstLineChars="200"/>
        <w:textAlignment w:val="baseline"/>
        <w:rPr>
          <w:rFonts w:ascii="仿宋_GB2312" w:hAnsi="仿宋_GB2312" w:eastAsia="仿宋_GB2312" w:cs="仿宋_GB2312"/>
          <w:kern w:val="0"/>
          <w:sz w:val="32"/>
          <w:szCs w:val="32"/>
          <w:lang w:bidi="ar"/>
        </w:rPr>
      </w:pPr>
      <w:r>
        <w:rPr>
          <w:rFonts w:hint="eastAsia" w:ascii="楷体_GB2312" w:hAnsi="楷体_GB2312" w:eastAsia="楷体_GB2312" w:cs="楷体_GB2312"/>
          <w:bCs/>
          <w:sz w:val="32"/>
          <w:szCs w:val="32"/>
        </w:rPr>
        <w:t>——加快新型城镇化人才队伍建设。</w:t>
      </w:r>
      <w:r>
        <w:rPr>
          <w:rFonts w:hint="eastAsia" w:ascii="仿宋_GB2312" w:hAnsi="仿宋_GB2312" w:eastAsia="仿宋_GB2312" w:cs="仿宋_GB2312"/>
          <w:kern w:val="0"/>
          <w:sz w:val="32"/>
          <w:szCs w:val="32"/>
          <w:lang w:bidi="ar"/>
        </w:rPr>
        <w:t>坚持以人为核心的新型城镇化，以县城为重要载体，大力实施城镇化提升行动，重点培养引进一批基础设施领域建设、城镇化治理、城乡融合发展方面的人才。</w:t>
      </w:r>
      <w:r>
        <w:rPr>
          <w:rFonts w:hint="default" w:ascii="Times New Roman" w:hAnsi="Times New Roman" w:eastAsia="仿宋_GB2312" w:cs="Times New Roman"/>
          <w:kern w:val="0"/>
          <w:sz w:val="32"/>
          <w:szCs w:val="32"/>
          <w:lang w:bidi="ar"/>
        </w:rPr>
        <w:t>到2025年，新型城镇化人才队伍达到3.5万人，其中新型城镇化重点领域人才规模达到2.6万</w:t>
      </w:r>
      <w:r>
        <w:rPr>
          <w:rFonts w:hint="eastAsia" w:ascii="仿宋_GB2312" w:hAnsi="仿宋_GB2312" w:eastAsia="仿宋_GB2312" w:cs="仿宋_GB2312"/>
          <w:kern w:val="0"/>
          <w:sz w:val="32"/>
          <w:szCs w:val="32"/>
          <w:lang w:bidi="ar"/>
        </w:rPr>
        <w:t>人。</w:t>
      </w:r>
    </w:p>
    <w:p>
      <w:pPr>
        <w:pStyle w:val="23"/>
        <w:snapToGrid w:val="0"/>
        <w:textAlignment w:val="baseline"/>
        <w:rPr>
          <w:rFonts w:ascii="黑体" w:hAnsi="黑体" w:eastAsia="黑体" w:cs="仿宋_GB2312"/>
          <w:b w:val="0"/>
          <w:bCs w:val="0"/>
          <w:kern w:val="0"/>
          <w:sz w:val="28"/>
          <w:szCs w:val="28"/>
        </w:rPr>
      </w:pPr>
      <w:bookmarkStart w:id="306" w:name="_Toc32459"/>
      <w:bookmarkStart w:id="307" w:name="_Toc698"/>
      <w:bookmarkStart w:id="308" w:name="_Toc31433"/>
      <w:bookmarkStart w:id="309" w:name="_Toc29498"/>
      <w:bookmarkStart w:id="310" w:name="_Toc25689"/>
      <w:bookmarkStart w:id="311" w:name="_Toc90584065"/>
      <w:bookmarkStart w:id="312" w:name="_Toc23572"/>
      <w:bookmarkStart w:id="313" w:name="_Toc3019"/>
      <w:bookmarkStart w:id="314" w:name="_Toc25396"/>
      <w:bookmarkStart w:id="315" w:name="_Toc18171"/>
      <w:bookmarkStart w:id="316" w:name="_Toc11926"/>
      <w:r>
        <w:rPr>
          <w:rFonts w:hint="eastAsia" w:ascii="黑体" w:hAnsi="黑体" w:eastAsia="黑体" w:cs="仿宋_GB2312"/>
          <w:b w:val="0"/>
          <w:kern w:val="0"/>
          <w:sz w:val="28"/>
          <w:szCs w:val="28"/>
        </w:rPr>
        <w:t>专栏</w:t>
      </w:r>
      <w:r>
        <w:rPr>
          <w:rFonts w:hint="eastAsia" w:ascii="Times New Roman" w:hAnsi="Times New Roman" w:eastAsia="黑体" w:cs="Times New Roman"/>
          <w:b w:val="0"/>
          <w:kern w:val="0"/>
          <w:sz w:val="28"/>
          <w:szCs w:val="28"/>
        </w:rPr>
        <w:t>10</w:t>
      </w:r>
      <w:r>
        <w:rPr>
          <w:rFonts w:ascii="黑体" w:hAnsi="黑体" w:eastAsia="黑体"/>
          <w:b w:val="0"/>
          <w:kern w:val="0"/>
          <w:sz w:val="28"/>
          <w:szCs w:val="28"/>
        </w:rPr>
        <w:t xml:space="preserve">  </w:t>
      </w:r>
      <w:r>
        <w:rPr>
          <w:rFonts w:hint="eastAsia" w:ascii="黑体" w:hAnsi="黑体" w:eastAsia="黑体" w:cs="仿宋_GB2312"/>
          <w:b w:val="0"/>
          <w:kern w:val="0"/>
          <w:sz w:val="28"/>
          <w:szCs w:val="28"/>
        </w:rPr>
        <w:t>实施“新型城镇化”人才发展工程</w:t>
      </w:r>
      <w:bookmarkEnd w:id="306"/>
      <w:bookmarkEnd w:id="307"/>
      <w:bookmarkEnd w:id="308"/>
      <w:bookmarkEnd w:id="309"/>
      <w:bookmarkEnd w:id="310"/>
      <w:bookmarkEnd w:id="311"/>
      <w:bookmarkEnd w:id="312"/>
      <w:bookmarkEnd w:id="313"/>
      <w:bookmarkEnd w:id="314"/>
      <w:bookmarkEnd w:id="315"/>
      <w:bookmarkEnd w:id="316"/>
    </w:p>
    <w:tbl>
      <w:tblPr>
        <w:tblStyle w:val="2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jc w:val="center"/>
              <w:textAlignment w:val="baseline"/>
              <w:rPr>
                <w:rFonts w:ascii="仿宋_GB2312" w:hAnsi="宋体" w:eastAsia="仿宋_GB2312" w:cs="仿宋_GB2312"/>
                <w:kern w:val="0"/>
                <w:sz w:val="24"/>
                <w:szCs w:val="24"/>
              </w:rPr>
            </w:pPr>
            <w:bookmarkStart w:id="317" w:name="_Toc90584066"/>
            <w:r>
              <w:rPr>
                <w:rFonts w:hint="eastAsia" w:ascii="仿宋_GB2312" w:hAnsi="宋体" w:eastAsia="仿宋_GB2312" w:cs="仿宋_GB2312"/>
                <w:kern w:val="0"/>
                <w:sz w:val="24"/>
                <w:szCs w:val="24"/>
              </w:rPr>
              <w:t>名称</w:t>
            </w:r>
            <w:bookmarkEnd w:id="317"/>
          </w:p>
        </w:tc>
        <w:tc>
          <w:tcPr>
            <w:tcW w:w="764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kern w:val="0"/>
                <w:sz w:val="24"/>
                <w:szCs w:val="24"/>
              </w:rPr>
            </w:pPr>
            <w:bookmarkStart w:id="318" w:name="_Toc90584067"/>
            <w:r>
              <w:rPr>
                <w:rFonts w:hint="eastAsia" w:ascii="仿宋_GB2312" w:hAnsi="宋体" w:eastAsia="仿宋_GB2312" w:cs="仿宋_GB2312"/>
                <w:kern w:val="0"/>
                <w:sz w:val="24"/>
                <w:szCs w:val="24"/>
              </w:rPr>
              <w:t>主要内容</w:t>
            </w:r>
            <w:bookmarkEnd w:id="3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19" w:name="_Toc90584068"/>
            <w:r>
              <w:rPr>
                <w:rFonts w:hint="eastAsia" w:ascii="仿宋_GB2312" w:hAnsi="宋体" w:eastAsia="仿宋_GB2312" w:cs="仿宋_GB2312"/>
                <w:kern w:val="0"/>
                <w:sz w:val="24"/>
                <w:szCs w:val="24"/>
              </w:rPr>
              <w:t>城市治理人才</w:t>
            </w:r>
            <w:bookmarkEnd w:id="319"/>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bookmarkStart w:id="320" w:name="_Toc90584069"/>
            <w:r>
              <w:rPr>
                <w:rFonts w:hint="eastAsia" w:ascii="仿宋_GB2312" w:hAnsi="宋体" w:eastAsia="仿宋_GB2312" w:cs="仿宋_GB2312"/>
                <w:kern w:val="0"/>
                <w:sz w:val="24"/>
                <w:szCs w:val="24"/>
              </w:rPr>
              <w:t>围绕新型城市化治理水平提升，依托高校、专业培训机构，实施市场监管人才以及市政、交通管理、城市规划、市容市貌、环境卫生、城市绿化等住房城乡建设领域行政管理人员能力提升工程，培养一批城市治理行政管理人才。聚焦城市治理社会化服务水平提升，指导水、电、气、网络以及环卫等社</w:t>
            </w:r>
            <w:r>
              <w:rPr>
                <w:rFonts w:hint="default" w:ascii="Times New Roman" w:hAnsi="Times New Roman" w:eastAsia="仿宋_GB2312" w:cs="Times New Roman"/>
                <w:kern w:val="0"/>
                <w:sz w:val="24"/>
                <w:szCs w:val="24"/>
              </w:rPr>
              <w:t>会化服务企业开展管理人员、技术技能人员专业能力培训，培养一批高水平的城市治理社会化服务专业人才。</w:t>
            </w:r>
            <w:bookmarkEnd w:id="320"/>
            <w:r>
              <w:rPr>
                <w:rFonts w:hint="default" w:ascii="Times New Roman" w:hAnsi="Times New Roman" w:eastAsia="仿宋_GB2312" w:cs="Times New Roman"/>
                <w:kern w:val="0"/>
                <w:sz w:val="24"/>
                <w:szCs w:val="24"/>
              </w:rPr>
              <w:t>到2025年，集聚培养市场监管人才700人、住房城乡建设领域行政管理人才500人、城镇社会机构服务人才2000人</w:t>
            </w:r>
            <w:r>
              <w:rPr>
                <w:rFonts w:hint="eastAsia" w:ascii="仿宋_GB2312" w:hAnsi="宋体"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21" w:name="_Toc90584070"/>
            <w:r>
              <w:rPr>
                <w:rFonts w:hint="eastAsia" w:ascii="仿宋_GB2312" w:hAnsi="宋体" w:eastAsia="仿宋_GB2312" w:cs="仿宋_GB2312"/>
                <w:kern w:val="0"/>
                <w:sz w:val="24"/>
                <w:szCs w:val="24"/>
              </w:rPr>
              <w:t>交通基础设施人才</w:t>
            </w:r>
            <w:bookmarkEnd w:id="321"/>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bookmarkStart w:id="322" w:name="_Toc90584071"/>
            <w:r>
              <w:rPr>
                <w:rFonts w:hint="default" w:ascii="Times New Roman" w:hAnsi="Times New Roman" w:eastAsia="仿宋_GB2312" w:cs="Times New Roman"/>
                <w:kern w:val="0"/>
                <w:sz w:val="24"/>
                <w:szCs w:val="24"/>
              </w:rPr>
              <w:t>围绕打造快速交通网、高效率普通干线网和广覆盖基础服务网为主体的交通基础设施网络体系，培养一批高素质的专业技术人才和高技能人才。</w:t>
            </w:r>
            <w:bookmarkEnd w:id="322"/>
            <w:r>
              <w:rPr>
                <w:rFonts w:hint="default" w:ascii="Times New Roman" w:hAnsi="Times New Roman" w:eastAsia="仿宋_GB2312" w:cs="Times New Roman"/>
                <w:kern w:val="0"/>
                <w:sz w:val="24"/>
                <w:szCs w:val="24"/>
              </w:rPr>
              <w:t>到2025年，全州交通基础设施建设领域人才达到2500人。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23" w:name="_Toc90584072"/>
            <w:r>
              <w:rPr>
                <w:rFonts w:hint="eastAsia" w:ascii="仿宋_GB2312" w:hAnsi="宋体" w:eastAsia="仿宋_GB2312" w:cs="仿宋_GB2312"/>
                <w:kern w:val="0"/>
                <w:sz w:val="24"/>
                <w:szCs w:val="24"/>
              </w:rPr>
              <w:t>水利设施领域人才</w:t>
            </w:r>
            <w:bookmarkEnd w:id="323"/>
          </w:p>
        </w:tc>
        <w:tc>
          <w:tcPr>
            <w:tcW w:w="764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bookmarkStart w:id="324" w:name="_Toc90584073"/>
            <w:r>
              <w:rPr>
                <w:rFonts w:hint="default" w:ascii="Times New Roman" w:hAnsi="Times New Roman" w:eastAsia="仿宋_GB2312" w:cs="Times New Roman"/>
                <w:kern w:val="0"/>
                <w:sz w:val="24"/>
                <w:szCs w:val="24"/>
              </w:rPr>
              <w:t>围绕水利规划、勘测设计、工程建设、水利科研等领域发展，引进培养一批水利规划建设高层次专业技术人才和基层技术技能人才。</w:t>
            </w:r>
            <w:bookmarkEnd w:id="324"/>
            <w:r>
              <w:rPr>
                <w:rFonts w:hint="default" w:ascii="Times New Roman" w:hAnsi="Times New Roman" w:eastAsia="仿宋_GB2312" w:cs="Times New Roman"/>
                <w:kern w:val="0"/>
                <w:sz w:val="24"/>
                <w:szCs w:val="24"/>
              </w:rPr>
              <w:t>到2025年，全州水利设施领域专业人才达到1800人。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25" w:name="_Toc90584074"/>
            <w:r>
              <w:rPr>
                <w:rFonts w:hint="eastAsia" w:ascii="仿宋_GB2312" w:hAnsi="宋体" w:eastAsia="仿宋_GB2312" w:cs="仿宋_GB2312"/>
                <w:kern w:val="0"/>
                <w:sz w:val="24"/>
                <w:szCs w:val="24"/>
              </w:rPr>
              <w:t>电力设施人才</w:t>
            </w:r>
            <w:bookmarkEnd w:id="325"/>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bookmarkStart w:id="326" w:name="_Toc90584075"/>
            <w:r>
              <w:rPr>
                <w:rFonts w:hint="default" w:ascii="Times New Roman" w:hAnsi="Times New Roman" w:eastAsia="仿宋_GB2312" w:cs="Times New Roman"/>
                <w:kern w:val="0"/>
                <w:sz w:val="24"/>
                <w:szCs w:val="24"/>
              </w:rPr>
              <w:t>围绕电网改造升级、智能电网建设等，培养引进一批服务智慧电网系统开发、电网与电源协同、电动汽车充电基础设施建设及配套电网改造等方面的专业技术人才和技能人才。</w:t>
            </w:r>
            <w:bookmarkEnd w:id="326"/>
            <w:r>
              <w:rPr>
                <w:rFonts w:hint="default" w:ascii="Times New Roman" w:hAnsi="Times New Roman" w:eastAsia="仿宋_GB2312" w:cs="Times New Roman"/>
                <w:kern w:val="0"/>
                <w:sz w:val="24"/>
                <w:szCs w:val="24"/>
              </w:rPr>
              <w:t>到2025年，全州电力基础设施领域专业人才达到500人。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自然资源领域人才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构建国土空间开发保护新格局、保障资源安全、节约集约利用、维护资源权益、生态保护修复、基础支撑能力提升等,重点培养一批土地管理、城乡规划、地质矿产、测绘地理信息等专业类工程师和注册国土空间规划师。到2025年，全州自然资源保护开发领域专业人才达到2000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住建基础设施人才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全州住房和城乡基础设施建设，加快引进培养一批城乡基础设施建设方面的专业人才，培养一批建筑设计、建筑安装、土木工程建筑施工、运营维护等技术技能人才。到2025年，全州住建领域专业人才达到20000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应急管理人才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围绕</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平安贵州</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建设，推动每个县</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区</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建立一支综合应急救援人才队伍，乡</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镇</w:t>
            </w:r>
            <w:r>
              <w:rPr>
                <w:rFonts w:hint="default" w:ascii="Times New Roman" w:hAnsi="Times New Roman" w:eastAsia="仿宋_GB2312" w:cs="Times New Roman"/>
                <w:kern w:val="0"/>
                <w:sz w:val="24"/>
                <w:szCs w:val="24"/>
              </w:rPr>
              <w:t>、街道)和有必要的村(社区)建立</w:t>
            </w:r>
            <w:r>
              <w:rPr>
                <w:rFonts w:hint="default" w:ascii="Times New Roman" w:hAnsi="Times New Roman" w:eastAsia="仿宋_GB2312" w:cs="Times New Roman"/>
                <w:color w:val="auto"/>
                <w:kern w:val="0"/>
                <w:sz w:val="24"/>
                <w:szCs w:val="24"/>
                <w:highlight w:val="none"/>
              </w:rPr>
              <w:t>专</w:t>
            </w:r>
            <w:r>
              <w:rPr>
                <w:rFonts w:hint="default" w:ascii="Times New Roman" w:hAnsi="Times New Roman" w:eastAsia="仿宋_GB2312" w:cs="Times New Roman"/>
                <w:color w:val="auto"/>
                <w:kern w:val="0"/>
                <w:sz w:val="24"/>
                <w:szCs w:val="24"/>
                <w:highlight w:val="none"/>
                <w:lang w:eastAsia="zh-CN"/>
              </w:rPr>
              <w:t>兼</w:t>
            </w:r>
            <w:r>
              <w:rPr>
                <w:rFonts w:hint="default" w:ascii="Times New Roman" w:hAnsi="Times New Roman" w:eastAsia="仿宋_GB2312" w:cs="Times New Roman"/>
                <w:color w:val="auto"/>
                <w:kern w:val="0"/>
                <w:sz w:val="24"/>
                <w:szCs w:val="24"/>
                <w:highlight w:val="none"/>
              </w:rPr>
              <w:t>职</w:t>
            </w:r>
            <w:r>
              <w:rPr>
                <w:rFonts w:hint="default" w:ascii="Times New Roman" w:hAnsi="Times New Roman" w:eastAsia="仿宋_GB2312" w:cs="Times New Roman"/>
                <w:kern w:val="0"/>
                <w:sz w:val="24"/>
                <w:szCs w:val="24"/>
              </w:rPr>
              <w:t>救援队伍和基层应急管理服务站点，建立省、州、县三级联动的安全生产、自然灾害等突发事件应急救援专兼职队伍，培养引进一批注册安全工程师人才。到2025年，应急管理专兼职人才队伍达到1000人，其中专职人才队伍达到600人。</w:t>
            </w:r>
          </w:p>
        </w:tc>
      </w:tr>
    </w:tbl>
    <w:p>
      <w:pPr>
        <w:snapToGrid w:val="0"/>
        <w:spacing w:line="360" w:lineRule="auto"/>
        <w:ind w:firstLine="640" w:firstLineChars="200"/>
        <w:textAlignment w:val="baseline"/>
        <w:rPr>
          <w:rFonts w:ascii="仿宋_GB2312" w:hAnsi="仿宋_GB2312" w:eastAsia="仿宋_GB2312" w:cs="仿宋_GB2312"/>
          <w:kern w:val="0"/>
          <w:sz w:val="32"/>
          <w:szCs w:val="32"/>
          <w:lang w:bidi="ar"/>
        </w:rPr>
      </w:pPr>
    </w:p>
    <w:p>
      <w:pPr>
        <w:snapToGrid w:val="0"/>
        <w:spacing w:line="360" w:lineRule="auto"/>
        <w:ind w:firstLine="640" w:firstLineChars="200"/>
        <w:textAlignment w:val="baseline"/>
        <w:rPr>
          <w:rFonts w:ascii="仿宋_GB2312" w:hAnsi="仿宋_GB2312" w:eastAsia="仿宋_GB2312" w:cs="仿宋_GB2312"/>
          <w:color w:val="auto"/>
          <w:kern w:val="0"/>
          <w:sz w:val="32"/>
          <w:szCs w:val="32"/>
          <w:highlight w:val="none"/>
          <w:u w:val="none"/>
          <w:lang w:bidi="ar"/>
        </w:rPr>
      </w:pPr>
      <w:r>
        <w:rPr>
          <w:rFonts w:hint="eastAsia" w:ascii="楷体_GB2312" w:hAnsi="楷体_GB2312" w:eastAsia="楷体_GB2312" w:cs="楷体_GB2312"/>
          <w:bCs/>
          <w:sz w:val="32"/>
          <w:szCs w:val="32"/>
        </w:rPr>
        <w:t>——加快农业现代化人才队伍建设。</w:t>
      </w:r>
      <w:r>
        <w:rPr>
          <w:rFonts w:hint="eastAsia" w:ascii="仿宋_GB2312" w:hAnsi="仿宋_GB2312" w:eastAsia="仿宋_GB2312" w:cs="仿宋_GB2312"/>
          <w:kern w:val="0"/>
          <w:sz w:val="32"/>
          <w:szCs w:val="32"/>
          <w:lang w:bidi="ar"/>
        </w:rPr>
        <w:t>围绕加快推进农业现代化，持续推动传统农业向现代农业转变，大力发展现代山地特色高效农业，提高农业质量效益和竞争力，</w:t>
      </w:r>
      <w:r>
        <w:rPr>
          <w:rFonts w:hint="eastAsia" w:ascii="仿宋_GB2312" w:hAnsi="仿宋_GB2312" w:eastAsia="仿宋_GB2312" w:cs="仿宋_GB2312"/>
          <w:color w:val="auto"/>
          <w:kern w:val="0"/>
          <w:sz w:val="32"/>
          <w:szCs w:val="32"/>
          <w:highlight w:val="none"/>
          <w:u w:val="none"/>
          <w:lang w:bidi="ar"/>
        </w:rPr>
        <w:t>以</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个主导</w:t>
      </w:r>
      <w:r>
        <w:rPr>
          <w:rFonts w:hint="eastAsia" w:ascii="仿宋_GB2312" w:hAnsi="仿宋_GB2312" w:eastAsia="仿宋_GB2312" w:cs="仿宋_GB2312"/>
          <w:color w:val="auto"/>
          <w:sz w:val="32"/>
          <w:szCs w:val="32"/>
          <w:highlight w:val="none"/>
          <w:u w:val="none"/>
        </w:rPr>
        <w:t>产业</w:t>
      </w:r>
      <w:r>
        <w:rPr>
          <w:rFonts w:hint="eastAsia" w:ascii="仿宋_GB2312" w:hAnsi="仿宋_GB2312" w:eastAsia="仿宋_GB2312" w:cs="仿宋_GB2312"/>
          <w:color w:val="auto"/>
          <w:kern w:val="0"/>
          <w:sz w:val="32"/>
          <w:szCs w:val="32"/>
          <w:highlight w:val="none"/>
          <w:u w:val="none"/>
          <w:lang w:bidi="ar"/>
        </w:rPr>
        <w:t>为重点</w:t>
      </w:r>
      <w:r>
        <w:rPr>
          <w:rFonts w:hint="eastAsia" w:ascii="仿宋_GB2312" w:hAnsi="仿宋_GB2312" w:eastAsia="仿宋_GB2312" w:cs="仿宋_GB2312"/>
          <w:kern w:val="0"/>
          <w:sz w:val="32"/>
          <w:szCs w:val="32"/>
          <w:lang w:bidi="ar"/>
        </w:rPr>
        <w:t>，深入推进产业导师制度、专家服务基层活动、高素质农民培育等人才计划项目，加快引进培养一批山地农业机械研发、农业品种选育、专业化种植、动物防疫、农作物病虫害防治、现代化农业技术服务、分拣包装、冷藏保鲜、农产品初加工、产品贮运等方面的专业技术人才、技能人才和农村实用人才。</w:t>
      </w:r>
      <w:r>
        <w:rPr>
          <w:rFonts w:hint="eastAsia" w:ascii="仿宋_GB2312" w:hAnsi="仿宋_GB2312" w:eastAsia="仿宋_GB2312" w:cs="仿宋_GB2312"/>
          <w:color w:val="auto"/>
          <w:kern w:val="0"/>
          <w:sz w:val="32"/>
          <w:szCs w:val="32"/>
          <w:highlight w:val="none"/>
          <w:u w:val="none"/>
          <w:lang w:bidi="ar"/>
        </w:rPr>
        <w:t>到2025年，全州</w:t>
      </w:r>
      <w:r>
        <w:rPr>
          <w:rFonts w:hint="eastAsia" w:ascii="仿宋_GB2312" w:hAnsi="仿宋_GB2312" w:eastAsia="仿宋_GB2312" w:cs="仿宋_GB2312"/>
          <w:color w:val="auto"/>
          <w:kern w:val="0"/>
          <w:sz w:val="32"/>
          <w:szCs w:val="32"/>
          <w:highlight w:val="none"/>
          <w:u w:val="none"/>
          <w:lang w:eastAsia="zh-CN" w:bidi="ar"/>
        </w:rPr>
        <w:t>农业现代化</w:t>
      </w:r>
      <w:r>
        <w:rPr>
          <w:rFonts w:hint="eastAsia" w:ascii="仿宋_GB2312" w:hAnsi="仿宋_GB2312" w:eastAsia="仿宋_GB2312" w:cs="仿宋_GB2312"/>
          <w:color w:val="auto"/>
          <w:kern w:val="0"/>
          <w:sz w:val="32"/>
          <w:szCs w:val="32"/>
          <w:highlight w:val="none"/>
          <w:u w:val="none"/>
          <w:lang w:bidi="ar"/>
        </w:rPr>
        <w:t>人才规模达到</w:t>
      </w:r>
      <w:r>
        <w:rPr>
          <w:rFonts w:hint="eastAsia" w:ascii="仿宋_GB2312" w:hAnsi="仿宋_GB2312" w:eastAsia="仿宋_GB2312" w:cs="仿宋_GB2312"/>
          <w:color w:val="auto"/>
          <w:kern w:val="0"/>
          <w:sz w:val="32"/>
          <w:szCs w:val="32"/>
          <w:highlight w:val="none"/>
          <w:u w:val="none"/>
          <w:lang w:val="en-US" w:eastAsia="zh-CN" w:bidi="ar"/>
        </w:rPr>
        <w:t>3</w:t>
      </w:r>
      <w:r>
        <w:rPr>
          <w:rFonts w:hint="eastAsia" w:ascii="仿宋_GB2312" w:hAnsi="仿宋_GB2312" w:eastAsia="仿宋_GB2312" w:cs="仿宋_GB2312"/>
          <w:color w:val="auto"/>
          <w:kern w:val="0"/>
          <w:sz w:val="32"/>
          <w:szCs w:val="32"/>
          <w:highlight w:val="none"/>
          <w:u w:val="none"/>
          <w:lang w:bidi="ar"/>
        </w:rPr>
        <w:t>万人。</w:t>
      </w:r>
    </w:p>
    <w:p>
      <w:pPr>
        <w:pStyle w:val="23"/>
        <w:snapToGrid w:val="0"/>
        <w:textAlignment w:val="baseline"/>
        <w:rPr>
          <w:rFonts w:ascii="黑体" w:hAnsi="黑体" w:eastAsia="黑体" w:cs="仿宋_GB2312"/>
          <w:b w:val="0"/>
          <w:bCs w:val="0"/>
          <w:kern w:val="0"/>
          <w:sz w:val="28"/>
          <w:szCs w:val="28"/>
        </w:rPr>
      </w:pPr>
      <w:bookmarkStart w:id="327" w:name="_Toc5896"/>
      <w:bookmarkStart w:id="328" w:name="_Toc20213"/>
      <w:bookmarkStart w:id="329" w:name="_Toc10068"/>
      <w:bookmarkStart w:id="330" w:name="_Toc19233"/>
      <w:bookmarkStart w:id="331" w:name="_Toc654"/>
      <w:bookmarkStart w:id="332" w:name="_Toc15250"/>
      <w:bookmarkStart w:id="333" w:name="_Toc12273"/>
      <w:bookmarkStart w:id="334" w:name="_Toc9620"/>
      <w:bookmarkStart w:id="335" w:name="_Toc8156"/>
      <w:bookmarkStart w:id="336" w:name="_Toc29413"/>
      <w:bookmarkStart w:id="337" w:name="_Toc90584076"/>
      <w:r>
        <w:rPr>
          <w:rFonts w:hint="eastAsia" w:ascii="黑体" w:hAnsi="黑体" w:eastAsia="黑体" w:cs="仿宋_GB2312"/>
          <w:b w:val="0"/>
          <w:kern w:val="0"/>
          <w:sz w:val="28"/>
          <w:szCs w:val="28"/>
        </w:rPr>
        <w:t>专栏</w:t>
      </w:r>
      <w:r>
        <w:rPr>
          <w:rFonts w:hint="eastAsia" w:ascii="Times New Roman" w:hAnsi="Times New Roman" w:eastAsia="黑体" w:cs="Times New Roman"/>
          <w:b w:val="0"/>
          <w:kern w:val="0"/>
          <w:sz w:val="28"/>
          <w:szCs w:val="28"/>
        </w:rPr>
        <w:t>11</w:t>
      </w:r>
      <w:r>
        <w:rPr>
          <w:rFonts w:ascii="黑体" w:hAnsi="黑体" w:eastAsia="黑体"/>
          <w:b w:val="0"/>
          <w:kern w:val="0"/>
          <w:sz w:val="28"/>
          <w:szCs w:val="28"/>
        </w:rPr>
        <w:t xml:space="preserve">  </w:t>
      </w:r>
      <w:r>
        <w:rPr>
          <w:rFonts w:hint="eastAsia" w:ascii="黑体" w:hAnsi="黑体" w:eastAsia="黑体" w:cs="仿宋_GB2312"/>
          <w:b w:val="0"/>
          <w:kern w:val="0"/>
          <w:sz w:val="28"/>
          <w:szCs w:val="28"/>
        </w:rPr>
        <w:t>实施“农业现代化”人才培育工程</w:t>
      </w:r>
      <w:bookmarkEnd w:id="327"/>
      <w:bookmarkEnd w:id="328"/>
      <w:bookmarkEnd w:id="329"/>
      <w:bookmarkEnd w:id="330"/>
      <w:bookmarkEnd w:id="331"/>
      <w:bookmarkEnd w:id="332"/>
      <w:bookmarkEnd w:id="333"/>
      <w:bookmarkEnd w:id="334"/>
      <w:bookmarkEnd w:id="335"/>
      <w:bookmarkEnd w:id="336"/>
      <w:bookmarkEnd w:id="337"/>
    </w:p>
    <w:tbl>
      <w:tblPr>
        <w:tblStyle w:val="25"/>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jc w:val="center"/>
              <w:textAlignment w:val="baseline"/>
              <w:rPr>
                <w:rFonts w:ascii="仿宋_GB2312" w:hAnsi="宋体" w:eastAsia="仿宋_GB2312" w:cs="仿宋_GB2312"/>
                <w:kern w:val="0"/>
                <w:sz w:val="24"/>
                <w:szCs w:val="24"/>
              </w:rPr>
            </w:pPr>
            <w:bookmarkStart w:id="338" w:name="_Toc90584077"/>
            <w:r>
              <w:rPr>
                <w:rFonts w:hint="eastAsia" w:ascii="仿宋_GB2312" w:hAnsi="宋体" w:eastAsia="仿宋_GB2312" w:cs="仿宋_GB2312"/>
                <w:kern w:val="0"/>
                <w:sz w:val="24"/>
                <w:szCs w:val="24"/>
              </w:rPr>
              <w:t>名称</w:t>
            </w:r>
            <w:bookmarkEnd w:id="338"/>
          </w:p>
        </w:tc>
        <w:tc>
          <w:tcPr>
            <w:tcW w:w="82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kern w:val="0"/>
                <w:sz w:val="24"/>
                <w:szCs w:val="24"/>
              </w:rPr>
            </w:pPr>
            <w:bookmarkStart w:id="339" w:name="_Toc90584078"/>
            <w:r>
              <w:rPr>
                <w:rFonts w:hint="eastAsia" w:ascii="仿宋_GB2312" w:hAnsi="宋体" w:eastAsia="仿宋_GB2312" w:cs="仿宋_GB2312"/>
                <w:kern w:val="0"/>
                <w:sz w:val="24"/>
                <w:szCs w:val="24"/>
              </w:rPr>
              <w:t>主要内容</w:t>
            </w:r>
            <w:bookmarkEnd w:id="3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40" w:name="_Toc90584079"/>
            <w:r>
              <w:rPr>
                <w:rFonts w:hint="eastAsia" w:ascii="仿宋_GB2312" w:hAnsi="宋体" w:eastAsia="仿宋_GB2312" w:cs="仿宋_GB2312"/>
                <w:kern w:val="0"/>
                <w:sz w:val="24"/>
                <w:szCs w:val="24"/>
              </w:rPr>
              <w:t>培育茶产业人才</w:t>
            </w:r>
            <w:bookmarkEnd w:id="340"/>
          </w:p>
        </w:tc>
        <w:tc>
          <w:tcPr>
            <w:tcW w:w="829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bookmarkStart w:id="341" w:name="_Toc90584080"/>
            <w:r>
              <w:rPr>
                <w:rFonts w:hint="eastAsia" w:ascii="仿宋_GB2312" w:hAnsi="宋体" w:eastAsia="仿宋_GB2312" w:cs="仿宋_GB2312"/>
                <w:kern w:val="0"/>
                <w:sz w:val="24"/>
                <w:szCs w:val="24"/>
              </w:rPr>
              <w:t>围绕“都匀毛尖”、欧标茶、特色茶、出口茶等，依托绿色防控技术推广、茶专肥推广、黔茶品种系列推广“三大行动”，以及品牌培育、市场开拓、加工升级、基地提质、质量安全、创新引领、文化添彩、融合发展“八大工程”，打造一支茶叶品种选育、茶叶种植、茶园管理、病虫害防治、产品开发、工艺改造、衍生品开发、精深加工、品质鉴评和文化品牌推介等领域的专业人才队伍。到</w:t>
            </w:r>
            <w:r>
              <w:rPr>
                <w:rFonts w:hint="default" w:ascii="Times New Roman" w:hAnsi="Times New Roman" w:eastAsia="仿宋_GB2312" w:cs="Times New Roman"/>
                <w:kern w:val="0"/>
                <w:sz w:val="24"/>
                <w:szCs w:val="24"/>
              </w:rPr>
              <w:t>2025年，聚集培养茶产业人才6000</w:t>
            </w:r>
            <w:r>
              <w:rPr>
                <w:rFonts w:hint="eastAsia" w:ascii="仿宋_GB2312" w:hAnsi="宋体" w:eastAsia="仿宋_GB2312" w:cs="仿宋_GB2312"/>
                <w:kern w:val="0"/>
                <w:sz w:val="24"/>
                <w:szCs w:val="24"/>
              </w:rPr>
              <w:t>人。</w:t>
            </w:r>
            <w:bookmarkEnd w:id="3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42" w:name="_Toc90584081"/>
            <w:r>
              <w:rPr>
                <w:rFonts w:hint="eastAsia" w:ascii="仿宋_GB2312" w:hAnsi="宋体" w:eastAsia="仿宋_GB2312" w:cs="仿宋_GB2312"/>
                <w:kern w:val="0"/>
                <w:sz w:val="24"/>
                <w:szCs w:val="24"/>
              </w:rPr>
              <w:t>培育蔬菜产业人才</w:t>
            </w:r>
            <w:bookmarkEnd w:id="342"/>
          </w:p>
        </w:tc>
        <w:tc>
          <w:tcPr>
            <w:tcW w:w="829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bookmarkStart w:id="343" w:name="_Toc90584082"/>
            <w:r>
              <w:rPr>
                <w:rFonts w:hint="default" w:ascii="Times New Roman" w:hAnsi="Times New Roman" w:eastAsia="仿宋_GB2312" w:cs="Times New Roman"/>
                <w:kern w:val="0"/>
                <w:sz w:val="24"/>
                <w:szCs w:val="24"/>
              </w:rPr>
              <w:t>围</w:t>
            </w:r>
            <w:r>
              <w:rPr>
                <w:rFonts w:hint="default" w:ascii="仿宋_GB2312" w:hAnsi="宋体" w:eastAsia="仿宋_GB2312" w:cs="仿宋_GB2312"/>
                <w:kern w:val="0"/>
                <w:sz w:val="24"/>
                <w:szCs w:val="24"/>
              </w:rPr>
              <w:t>绕罗甸、福泉、惠水、平</w:t>
            </w:r>
            <w:r>
              <w:rPr>
                <w:rFonts w:hint="eastAsia" w:ascii="仿宋_GB2312" w:hAnsi="宋体" w:eastAsia="仿宋_GB2312" w:cs="仿宋_GB2312"/>
                <w:kern w:val="0"/>
                <w:sz w:val="24"/>
                <w:szCs w:val="24"/>
              </w:rPr>
              <w:t>塘“蔬菜圈”建设，以及夏秋蔬菜基地建设及标准化、规模化、品牌化发展，依托蔬菜产业发</w:t>
            </w:r>
            <w:r>
              <w:rPr>
                <w:rFonts w:hint="default" w:ascii="仿宋_GB2312" w:hAnsi="宋体" w:eastAsia="仿宋_GB2312" w:cs="仿宋_GB2312"/>
                <w:kern w:val="0"/>
                <w:sz w:val="24"/>
                <w:szCs w:val="24"/>
              </w:rPr>
              <w:t>展提升行动，聚焦萝卜、茄子等大宗单品以及韭黄、生姜、山药等区域优势产品发展，打造一支品种选育、育苗栽培、管理种植、采</w:t>
            </w:r>
            <w:r>
              <w:rPr>
                <w:rFonts w:hint="default" w:ascii="Times New Roman" w:hAnsi="Times New Roman" w:eastAsia="仿宋_GB2312" w:cs="Times New Roman"/>
                <w:kern w:val="0"/>
                <w:sz w:val="24"/>
                <w:szCs w:val="24"/>
              </w:rPr>
              <w:t>后处理、精深加工、市场销售等方面的专业人才队伍。到2025年，聚集培养蔬菜产业人才5000人。</w:t>
            </w:r>
            <w:bookmarkEnd w:id="3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44" w:name="_Toc90584083"/>
            <w:r>
              <w:rPr>
                <w:rFonts w:hint="eastAsia" w:ascii="仿宋_GB2312" w:hAnsi="宋体" w:eastAsia="仿宋_GB2312" w:cs="仿宋_GB2312"/>
                <w:kern w:val="0"/>
                <w:sz w:val="24"/>
                <w:szCs w:val="24"/>
              </w:rPr>
              <w:t>培育刺梨产业人才</w:t>
            </w:r>
            <w:bookmarkEnd w:id="344"/>
          </w:p>
        </w:tc>
        <w:tc>
          <w:tcPr>
            <w:tcW w:w="829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bookmarkStart w:id="345" w:name="_Toc90584084"/>
            <w:r>
              <w:rPr>
                <w:rFonts w:hint="default" w:ascii="Times New Roman" w:hAnsi="Times New Roman" w:eastAsia="仿宋_GB2312" w:cs="Times New Roman"/>
                <w:kern w:val="0"/>
                <w:sz w:val="24"/>
                <w:szCs w:val="24"/>
              </w:rPr>
              <w:t>围绕刺梨食品、药品、日化用品产业发展，聚焦刺梨汁、果脯、酒品、药品、精油等产品研发与精深加工，依托刺梨基地建设、技术创新平台建设，以及刺梨乡村旅游观光精品带打造，加强科研单位、大专院校、刺梨协会与加工生产企业之间的横向合作，培养引进一批良种选育、丰产栽培、专业种植、新品开发、标准制定、品牌经营、营销推广为一体的专业人才。到2025年，聚集培养刺梨产业人才500人。</w:t>
            </w:r>
            <w:bookmarkEnd w:id="3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46" w:name="_Toc90584085"/>
            <w:r>
              <w:rPr>
                <w:rFonts w:hint="eastAsia" w:ascii="仿宋_GB2312" w:hAnsi="宋体" w:eastAsia="仿宋_GB2312" w:cs="仿宋_GB2312"/>
                <w:kern w:val="0"/>
                <w:sz w:val="24"/>
                <w:szCs w:val="24"/>
              </w:rPr>
              <w:t>培育辣椒产业人才</w:t>
            </w:r>
            <w:bookmarkEnd w:id="346"/>
          </w:p>
        </w:tc>
        <w:tc>
          <w:tcPr>
            <w:tcW w:w="829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bookmarkStart w:id="347" w:name="_Toc90584086"/>
            <w:r>
              <w:rPr>
                <w:rFonts w:hint="eastAsia" w:ascii="仿宋_GB2312" w:hAnsi="宋体" w:eastAsia="仿宋_GB2312" w:cs="仿宋_GB2312"/>
                <w:kern w:val="0"/>
                <w:sz w:val="24"/>
                <w:szCs w:val="24"/>
              </w:rPr>
              <w:t>重点抓牢辣椒调味品、辣椒色素、辣椒碱这三个产业链条的开发，生产涵盖油辣椒、泡椒、糟辣椒、辣椒粉、糍粑辣椒、辣椒干、辣椒酱、腌制辣椒、深加工产品等9个系列辣椒制品，延伸精深加工产业链。支持企业组建辣椒制品研发工程中心,研发辣椒制品新工艺,开发辣子鸡、辣子鱼、辣椒保健品等“辣椒+”产品,推动辣椒加工业发展。</w:t>
            </w:r>
            <w:bookmarkEnd w:id="347"/>
            <w:r>
              <w:rPr>
                <w:rFonts w:hint="eastAsia" w:ascii="仿宋_GB2312" w:hAnsi="宋体" w:eastAsia="仿宋_GB2312" w:cs="仿宋_GB2312"/>
                <w:kern w:val="0"/>
                <w:sz w:val="24"/>
                <w:szCs w:val="24"/>
              </w:rPr>
              <w:t>到</w:t>
            </w:r>
            <w:r>
              <w:rPr>
                <w:rFonts w:hint="default" w:ascii="Times New Roman" w:hAnsi="Times New Roman" w:eastAsia="仿宋_GB2312" w:cs="Times New Roman"/>
                <w:kern w:val="0"/>
                <w:sz w:val="24"/>
                <w:szCs w:val="24"/>
              </w:rPr>
              <w:t>2025年，聚集培养辣椒产业人才1300</w:t>
            </w:r>
            <w:r>
              <w:rPr>
                <w:rFonts w:hint="eastAsia" w:ascii="仿宋_GB2312" w:hAnsi="宋体" w:eastAsia="仿宋_GB2312" w:cs="仿宋_GB2312"/>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48" w:name="_Toc90584087"/>
            <w:r>
              <w:rPr>
                <w:rFonts w:hint="eastAsia" w:ascii="仿宋_GB2312" w:hAnsi="宋体" w:eastAsia="仿宋_GB2312" w:cs="仿宋_GB2312"/>
                <w:kern w:val="0"/>
                <w:sz w:val="24"/>
                <w:szCs w:val="24"/>
              </w:rPr>
              <w:t>培育水果产业人才</w:t>
            </w:r>
            <w:bookmarkEnd w:id="348"/>
          </w:p>
        </w:tc>
        <w:tc>
          <w:tcPr>
            <w:tcW w:w="829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bookmarkStart w:id="349" w:name="_Toc90584088"/>
            <w:r>
              <w:rPr>
                <w:rFonts w:hint="eastAsia" w:ascii="仿宋_GB2312" w:hAnsi="宋体" w:eastAsia="仿宋_GB2312" w:cs="仿宋_GB2312"/>
                <w:kern w:val="0"/>
                <w:sz w:val="24"/>
                <w:szCs w:val="24"/>
              </w:rPr>
              <w:t>围绕火龙果、百香果、猕猴桃、蓝莓、地方名李等产业，依托标准化生产基地建设、特色水果小镇建设，加快水果与特色旅游、绿色餐饮等第三产业融合发展，带动赏花、品果主题旅游及农家乐产业发展，建设培养引进一批品种选育、种苗繁育、生态种植、精深加工、采后处理、储运保鲜、销售推广、水果“非农”项目设计与推广、农旅融</w:t>
            </w:r>
            <w:r>
              <w:rPr>
                <w:rFonts w:hint="default" w:ascii="Times New Roman" w:hAnsi="Times New Roman" w:eastAsia="仿宋_GB2312" w:cs="Times New Roman"/>
                <w:kern w:val="0"/>
                <w:sz w:val="24"/>
                <w:szCs w:val="24"/>
              </w:rPr>
              <w:t>合等方面的专业人才。到2025年，聚集培养水果产业人才1500人。</w:t>
            </w:r>
            <w:bookmarkEnd w:id="3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bookmarkStart w:id="350" w:name="_Toc90584089"/>
            <w:r>
              <w:rPr>
                <w:rFonts w:hint="eastAsia" w:ascii="仿宋_GB2312" w:hAnsi="宋体" w:eastAsia="仿宋_GB2312" w:cs="仿宋_GB2312"/>
                <w:kern w:val="0"/>
                <w:sz w:val="24"/>
                <w:szCs w:val="24"/>
              </w:rPr>
              <w:t>培育中药材产业人才</w:t>
            </w:r>
            <w:bookmarkEnd w:id="350"/>
          </w:p>
        </w:tc>
        <w:tc>
          <w:tcPr>
            <w:tcW w:w="829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bookmarkStart w:id="351" w:name="_Toc90584090"/>
            <w:r>
              <w:rPr>
                <w:rFonts w:hint="eastAsia" w:ascii="仿宋_GB2312" w:hAnsi="宋体" w:eastAsia="仿宋_GB2312" w:cs="仿宋_GB2312"/>
                <w:kern w:val="0"/>
                <w:sz w:val="24"/>
                <w:szCs w:val="24"/>
              </w:rPr>
              <w:t>围绕药材种质资源基因库和“黔药”品牌建设，聚焦刺梨、石斛等药食两用品、养生保健品开发，推动中药材种植基地建设和乡村旅游、文化推广、生态建设、健康养老等产业融合，培养引进一批品种提纯复壮、良种繁育、栽培种植、病虫害绿色防控、成分分析、药理药效研究、新产品研发、中药炮制和制剂、管理技术应用为一体的专业</w:t>
            </w:r>
            <w:r>
              <w:rPr>
                <w:rFonts w:hint="default" w:ascii="Times New Roman" w:hAnsi="Times New Roman" w:eastAsia="仿宋_GB2312" w:cs="Times New Roman"/>
                <w:kern w:val="0"/>
                <w:sz w:val="24"/>
                <w:szCs w:val="24"/>
              </w:rPr>
              <w:t>人才。到2025年，聚集培养中药材产业人才1100人。</w:t>
            </w:r>
            <w:bookmarkEnd w:id="351"/>
          </w:p>
        </w:tc>
      </w:tr>
    </w:tbl>
    <w:p>
      <w:pPr>
        <w:snapToGrid w:val="0"/>
        <w:spacing w:line="576" w:lineRule="exact"/>
        <w:ind w:firstLine="640" w:firstLineChars="200"/>
        <w:textAlignment w:val="baseline"/>
        <w:rPr>
          <w:rFonts w:ascii="楷体_GB2312" w:hAnsi="楷体_GB2312" w:eastAsia="楷体_GB2312" w:cs="楷体_GB2312"/>
          <w:bCs/>
          <w:sz w:val="32"/>
          <w:szCs w:val="32"/>
        </w:rPr>
      </w:pPr>
    </w:p>
    <w:p>
      <w:pPr>
        <w:snapToGrid w:val="0"/>
        <w:spacing w:line="360" w:lineRule="auto"/>
        <w:ind w:firstLine="640" w:firstLineChars="200"/>
        <w:textAlignment w:val="baseline"/>
        <w:rPr>
          <w:rFonts w:ascii="仿宋_GB2312" w:hAnsi="仿宋_GB2312" w:eastAsia="仿宋_GB2312" w:cs="仿宋_GB2312"/>
          <w:kern w:val="0"/>
          <w:sz w:val="32"/>
          <w:szCs w:val="32"/>
          <w:lang w:bidi="ar"/>
        </w:rPr>
      </w:pPr>
      <w:r>
        <w:rPr>
          <w:rFonts w:hint="eastAsia" w:ascii="楷体_GB2312" w:hAnsi="楷体_GB2312" w:eastAsia="楷体_GB2312" w:cs="楷体_GB2312"/>
          <w:bCs/>
          <w:sz w:val="32"/>
          <w:szCs w:val="32"/>
        </w:rPr>
        <w:t>——加快旅游产业化人才队伍建设。</w:t>
      </w:r>
      <w:r>
        <w:rPr>
          <w:rFonts w:hint="eastAsia" w:ascii="仿宋_GB2312" w:hAnsi="仿宋_GB2312" w:eastAsia="仿宋_GB2312" w:cs="仿宋_GB2312"/>
          <w:kern w:val="0"/>
          <w:sz w:val="32"/>
          <w:szCs w:val="32"/>
          <w:lang w:bidi="ar"/>
        </w:rPr>
        <w:t>围绕加快形成全域旅游发展新格局，提升旅游产业发展质量和效益，打造山地旅游目的地、度假康养地，加大旅游产业市场主体培育，</w:t>
      </w:r>
      <w:r>
        <w:rPr>
          <w:rFonts w:hint="eastAsia" w:ascii="仿宋_GB2312" w:hAnsi="仿宋_GB2312" w:eastAsia="仿宋_GB2312" w:cs="仿宋_GB2312"/>
          <w:color w:val="auto"/>
          <w:kern w:val="0"/>
          <w:sz w:val="32"/>
          <w:szCs w:val="32"/>
          <w:highlight w:val="none"/>
          <w:u w:val="none"/>
          <w:lang w:bidi="ar"/>
        </w:rPr>
        <w:t>聚焦</w:t>
      </w:r>
      <w:r>
        <w:rPr>
          <w:rFonts w:hint="eastAsia" w:ascii="仿宋_GB2312" w:hAnsi="仿宋_GB2312" w:eastAsia="仿宋_GB2312" w:cs="仿宋_GB2312"/>
          <w:color w:val="auto"/>
          <w:kern w:val="0"/>
          <w:sz w:val="32"/>
          <w:szCs w:val="32"/>
          <w:highlight w:val="none"/>
          <w:u w:val="none"/>
          <w:lang w:eastAsia="zh-CN" w:bidi="ar"/>
        </w:rPr>
        <w:t>度假</w:t>
      </w:r>
      <w:r>
        <w:rPr>
          <w:rFonts w:hint="eastAsia" w:ascii="仿宋_GB2312" w:hAnsi="仿宋_GB2312" w:eastAsia="仿宋_GB2312" w:cs="仿宋_GB2312"/>
          <w:color w:val="auto"/>
          <w:kern w:val="0"/>
          <w:sz w:val="32"/>
          <w:szCs w:val="32"/>
          <w:highlight w:val="none"/>
          <w:u w:val="none"/>
          <w:lang w:bidi="ar"/>
        </w:rPr>
        <w:t>旅游、导游服务</w:t>
      </w:r>
      <w:r>
        <w:rPr>
          <w:rFonts w:hint="eastAsia" w:ascii="仿宋_GB2312" w:hAnsi="仿宋_GB2312" w:eastAsia="仿宋_GB2312" w:cs="仿宋_GB2312"/>
          <w:color w:val="auto"/>
          <w:kern w:val="0"/>
          <w:sz w:val="32"/>
          <w:szCs w:val="32"/>
          <w:highlight w:val="none"/>
          <w:u w:val="none"/>
          <w:lang w:eastAsia="zh-CN" w:bidi="ar"/>
        </w:rPr>
        <w:t>、研学探险、体育健身、文化体验</w:t>
      </w:r>
      <w:r>
        <w:rPr>
          <w:rFonts w:hint="eastAsia" w:ascii="仿宋_GB2312" w:hAnsi="仿宋_GB2312" w:eastAsia="仿宋_GB2312" w:cs="仿宋_GB2312"/>
          <w:color w:val="auto"/>
          <w:kern w:val="0"/>
          <w:sz w:val="32"/>
          <w:szCs w:val="32"/>
          <w:highlight w:val="none"/>
          <w:u w:val="none"/>
          <w:lang w:bidi="ar"/>
        </w:rPr>
        <w:t>等重点领域，</w:t>
      </w:r>
      <w:r>
        <w:rPr>
          <w:rFonts w:hint="eastAsia" w:ascii="仿宋_GB2312" w:hAnsi="仿宋_GB2312" w:eastAsia="仿宋_GB2312" w:cs="仿宋_GB2312"/>
          <w:kern w:val="0"/>
          <w:sz w:val="32"/>
          <w:szCs w:val="32"/>
          <w:lang w:bidi="ar"/>
        </w:rPr>
        <w:t>以高层次人才队伍建设为引领，统筹旅游企业经营管理人才、专业技</w:t>
      </w:r>
      <w:r>
        <w:rPr>
          <w:rFonts w:hint="default" w:ascii="Times New Roman" w:hAnsi="Times New Roman" w:eastAsia="仿宋_GB2312" w:cs="Times New Roman"/>
          <w:kern w:val="0"/>
          <w:sz w:val="32"/>
          <w:szCs w:val="32"/>
          <w:lang w:bidi="ar"/>
        </w:rPr>
        <w:t>术人才、技能人才开发，汇聚一批高素质旅游产业化人才队伍。到2025年，全州旅游产业化人才规模达到3万人。</w:t>
      </w:r>
    </w:p>
    <w:p>
      <w:pPr>
        <w:snapToGrid w:val="0"/>
        <w:spacing w:line="576" w:lineRule="exact"/>
        <w:ind w:firstLine="640" w:firstLineChars="200"/>
        <w:textAlignment w:val="baseline"/>
        <w:rPr>
          <w:rFonts w:ascii="仿宋_GB2312" w:hAnsi="仿宋_GB2312" w:eastAsia="仿宋_GB2312" w:cs="仿宋_GB2312"/>
          <w:kern w:val="0"/>
          <w:sz w:val="32"/>
          <w:szCs w:val="32"/>
          <w:lang w:bidi="ar"/>
        </w:rPr>
      </w:pPr>
    </w:p>
    <w:p>
      <w:pPr>
        <w:pStyle w:val="23"/>
        <w:snapToGrid w:val="0"/>
        <w:textAlignment w:val="baseline"/>
        <w:rPr>
          <w:rFonts w:ascii="黑体" w:hAnsi="黑体" w:eastAsia="黑体" w:cs="仿宋_GB2312"/>
          <w:b w:val="0"/>
          <w:bCs w:val="0"/>
          <w:kern w:val="0"/>
          <w:sz w:val="28"/>
          <w:szCs w:val="28"/>
        </w:rPr>
      </w:pPr>
      <w:bookmarkStart w:id="352" w:name="_Toc1282"/>
      <w:bookmarkStart w:id="353" w:name="_Toc23864"/>
      <w:bookmarkStart w:id="354" w:name="_Toc7726"/>
      <w:bookmarkStart w:id="355" w:name="_Toc15959"/>
      <w:bookmarkStart w:id="356" w:name="_Toc5740"/>
      <w:bookmarkStart w:id="357" w:name="_Toc20738"/>
      <w:bookmarkStart w:id="358" w:name="_Toc28759"/>
      <w:bookmarkStart w:id="359" w:name="_Toc26416"/>
      <w:bookmarkStart w:id="360" w:name="_Toc4864"/>
      <w:bookmarkStart w:id="361" w:name="_Toc8102"/>
      <w:r>
        <w:rPr>
          <w:rFonts w:hint="eastAsia" w:ascii="黑体" w:hAnsi="黑体" w:eastAsia="黑体" w:cs="仿宋_GB2312"/>
          <w:b w:val="0"/>
          <w:kern w:val="0"/>
          <w:sz w:val="28"/>
          <w:szCs w:val="28"/>
        </w:rPr>
        <w:t>专栏</w:t>
      </w:r>
      <w:r>
        <w:rPr>
          <w:rFonts w:hint="eastAsia" w:ascii="Times New Roman" w:hAnsi="Times New Roman" w:eastAsia="黑体" w:cs="Times New Roman"/>
          <w:b w:val="0"/>
          <w:kern w:val="0"/>
          <w:sz w:val="28"/>
          <w:szCs w:val="28"/>
        </w:rPr>
        <w:t xml:space="preserve">12 </w:t>
      </w:r>
      <w:r>
        <w:rPr>
          <w:rFonts w:ascii="黑体" w:hAnsi="黑体" w:eastAsia="黑体"/>
          <w:b w:val="0"/>
          <w:kern w:val="0"/>
          <w:sz w:val="28"/>
          <w:szCs w:val="28"/>
        </w:rPr>
        <w:t xml:space="preserve"> </w:t>
      </w:r>
      <w:r>
        <w:rPr>
          <w:rFonts w:hint="eastAsia" w:ascii="黑体" w:hAnsi="黑体" w:eastAsia="黑体" w:cs="仿宋_GB2312"/>
          <w:b w:val="0"/>
          <w:kern w:val="0"/>
          <w:sz w:val="28"/>
          <w:szCs w:val="28"/>
        </w:rPr>
        <w:t>实施“旅游产业化”人才培育工程</w:t>
      </w:r>
      <w:bookmarkEnd w:id="352"/>
      <w:bookmarkEnd w:id="353"/>
      <w:bookmarkEnd w:id="354"/>
      <w:bookmarkEnd w:id="355"/>
      <w:bookmarkEnd w:id="356"/>
      <w:bookmarkEnd w:id="357"/>
      <w:bookmarkEnd w:id="358"/>
      <w:bookmarkEnd w:id="359"/>
      <w:bookmarkEnd w:id="360"/>
      <w:bookmarkEnd w:id="361"/>
    </w:p>
    <w:tbl>
      <w:tblPr>
        <w:tblStyle w:val="2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名称</w:t>
            </w:r>
          </w:p>
        </w:tc>
        <w:tc>
          <w:tcPr>
            <w:tcW w:w="764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旅游产业高层次人才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重点围绕民族文化、旅游规划设计、饭店管理、旅行社管理、景区管理等领域，引进培养一批旅游产业高层次经营管理人才。举办专题创意创新旅游设计大赛,引进集聚一批具有国际视野的景区规划、实景与AI类文化、旅游产品设计与开发、体验式消费文化等领域高层次专业技术人才。到2025年，培养引进旅游产业高层次人才达到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旅游企业经营管理人才</w:t>
            </w:r>
          </w:p>
        </w:tc>
        <w:tc>
          <w:tcPr>
            <w:tcW w:w="7644"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国际一流旅游目的地建设，实施文化和旅游总部招商计划，汇聚一批企业运营、市场推广、电子商务、人力资源、财务管理等省内外旅游产业领域职业经理人及企业经营管理人才。到2025年，全州旅游企业经营管理人才达到8000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旅游产业专业技术人才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全州旅游产业创新发展，实施旅游产业创新英才培育工程，培养引进一批智慧文化旅游、旅游规划设计、旅游产品创新、虚拟旅游场景设计、云旅游系统开发、文旅消费体验设计等重点领域专业技术人才。到2025年，全州旅游产业专业技术人才达到1500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旅游产业技能人才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围绕旅游产品与服务质量提升,以全国行业职业技能竞赛、技工院校学生创业创新大赛、“一带一路”国际技能大赛等为抓手，遴选培养一批高素质技能人才。到2025年，全州旅游产业人才达到16000人。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导游人才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围绕旅游服务质量提升，以高级导游人才专项培养计划为抓手，依托高校、培训机构与人才培养培训基地，培养一批英语导游、小语种导游、金牌导游等中高级导游人才。到2025年，全州导游人才达到2000人。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乡村文化旅游人才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围绕乡村旅游产业振兴，以乡村旅游创新创业培养项目、民宿服务职业技能提升行动、</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文旅兴农</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人才培养行动等为抓手，培育一批传统村落首席专家、乡村旅游经营管理示范户、乡村旅游创客基地负责人、乡村旅游致富带头人、服务标兵，培训一批乡村文化旅游新型职业农民。到</w:t>
            </w:r>
            <w:r>
              <w:rPr>
                <w:rFonts w:hint="default" w:ascii="Times New Roman" w:hAnsi="Times New Roman" w:eastAsia="仿宋_GB2312" w:cs="Times New Roman"/>
                <w:kern w:val="0"/>
                <w:sz w:val="24"/>
                <w:szCs w:val="24"/>
              </w:rPr>
              <w:t>2025年，全州乡村文化旅游人才达到3500人</w:t>
            </w:r>
            <w:r>
              <w:rPr>
                <w:rFonts w:hint="eastAsia" w:ascii="仿宋_GB2312" w:hAnsi="宋体" w:eastAsia="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红色旅游人才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围绕长征国家文化公园贵州重点建设区建设</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引进培养一批红色文化产品研创、红色旅游规划设计、红色文旅产品经营管理的专业人才，打造一支红色旅游讲解员、红色旅游景</w:t>
            </w:r>
            <w:r>
              <w:rPr>
                <w:rFonts w:hint="default" w:ascii="Times New Roman" w:hAnsi="Times New Roman" w:eastAsia="仿宋_GB2312" w:cs="Times New Roman"/>
                <w:kern w:val="0"/>
                <w:sz w:val="24"/>
                <w:szCs w:val="24"/>
              </w:rPr>
              <w:t>区导游人才队伍。围绕红色旅游志愿讲解服务供给,打造一支红色旅游志愿服务人才队伍。到2025年，全州红色旅游人才达到500人。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新型旅游人才</w:t>
            </w:r>
          </w:p>
        </w:tc>
        <w:tc>
          <w:tcPr>
            <w:tcW w:w="7644"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kern w:val="0"/>
                <w:sz w:val="24"/>
                <w:szCs w:val="24"/>
              </w:rPr>
            </w:pPr>
            <w:r>
              <w:rPr>
                <w:rFonts w:hint="eastAsia" w:ascii="仿宋_GB2312" w:hAnsi="宋体" w:eastAsia="仿宋_GB2312" w:cs="仿宋_GB2312"/>
                <w:kern w:val="0"/>
                <w:sz w:val="24"/>
                <w:szCs w:val="24"/>
              </w:rPr>
              <w:t>围绕健康旅游、山地户外运动、科普研学旅游、新兴健康运动等产业发展，培养引进一批旅游康养、中医预防保健、体育用品生产服务、会展旅游、科普研学等方面的专业技</w:t>
            </w:r>
            <w:r>
              <w:rPr>
                <w:rFonts w:hint="default" w:ascii="Times New Roman" w:hAnsi="Times New Roman" w:eastAsia="仿宋_GB2312" w:cs="Times New Roman"/>
                <w:kern w:val="0"/>
                <w:sz w:val="24"/>
                <w:szCs w:val="24"/>
              </w:rPr>
              <w:t>术人才和高技能人才。到2025年,全州新型旅游人才达到1000人。</w:t>
            </w:r>
          </w:p>
        </w:tc>
      </w:tr>
    </w:tbl>
    <w:p>
      <w:pPr>
        <w:pStyle w:val="4"/>
        <w:snapToGrid w:val="0"/>
        <w:spacing w:line="360" w:lineRule="auto"/>
        <w:jc w:val="center"/>
        <w:textAlignment w:val="baseline"/>
        <w:rPr>
          <w:rFonts w:hint="eastAsia"/>
        </w:rPr>
      </w:pPr>
      <w:bookmarkStart w:id="362" w:name="_Toc9599"/>
    </w:p>
    <w:p>
      <w:pPr>
        <w:pStyle w:val="4"/>
        <w:snapToGrid w:val="0"/>
        <w:spacing w:line="360" w:lineRule="auto"/>
        <w:jc w:val="center"/>
        <w:textAlignment w:val="baseline"/>
        <w:rPr>
          <w:rFonts w:hint="eastAsia" w:ascii="Arial" w:hAnsi="Arial"/>
        </w:rPr>
      </w:pPr>
      <w:bookmarkStart w:id="363" w:name="_Toc8507"/>
      <w:r>
        <w:rPr>
          <w:rFonts w:hint="eastAsia"/>
        </w:rPr>
        <w:t>第五节</w:t>
      </w:r>
      <w:r>
        <w:t xml:space="preserve"> </w:t>
      </w:r>
      <w:r>
        <w:rPr>
          <w:rFonts w:hint="eastAsia" w:ascii="Arial" w:hAnsi="Arial"/>
        </w:rPr>
        <w:t>深化</w:t>
      </w:r>
      <w:bookmarkEnd w:id="293"/>
      <w:bookmarkEnd w:id="294"/>
      <w:bookmarkEnd w:id="295"/>
      <w:r>
        <w:rPr>
          <w:rFonts w:hint="eastAsia" w:ascii="Arial" w:hAnsi="Arial"/>
        </w:rPr>
        <w:t>人才体制机制改革</w:t>
      </w:r>
      <w:bookmarkEnd w:id="362"/>
      <w:bookmarkEnd w:id="363"/>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bCs/>
          <w:sz w:val="32"/>
          <w:szCs w:val="32"/>
        </w:rPr>
        <w:t>——进一步规范和优化事业单位岗位管理。</w:t>
      </w:r>
      <w:r>
        <w:rPr>
          <w:rFonts w:hint="eastAsia" w:ascii="仿宋_GB2312" w:hAnsi="仿宋_GB2312" w:eastAsia="仿宋_GB2312" w:cs="仿宋_GB2312"/>
          <w:sz w:val="32"/>
          <w:szCs w:val="32"/>
        </w:rPr>
        <w:t>坚持以服务经济社会发展战略为主线，深化事业单位人事制度改革，建立事业单位人事管理权责清单，督促事业单位建立有效的自我约束机制，主管部门建立人事管理监督机制。优化岗位及聘用管理，建立岗位设置及聘用备案动态调整机制。适当放宽专业技术人员高级岗位比例，推动实现人才倍增，增加高层次人才总量。对县级及以下事业单位，符合正高级职称申报条件的，可不受岗位限制，即评即聘。提高乡镇事业单位干部年度考核优秀等次比例。</w:t>
      </w:r>
      <w:r>
        <w:rPr>
          <w:rFonts w:hint="eastAsia" w:eastAsia="仿宋_GB2312"/>
          <w:sz w:val="32"/>
          <w:szCs w:val="32"/>
        </w:rPr>
        <w:t>深化人才招聘体制改革，积极探索符合不同行业、不同类型事业单位和岗位特点的招聘办法，赋予教育、卫生、体育文化类行业主管部门和用人单位自主招聘权力，逐步提高公开招聘的科学化水平。</w:t>
      </w:r>
    </w:p>
    <w:p>
      <w:pPr>
        <w:snapToGrid w:val="0"/>
        <w:spacing w:line="360" w:lineRule="auto"/>
        <w:ind w:firstLine="640" w:firstLineChars="200"/>
        <w:jc w:val="left"/>
        <w:textAlignment w:val="baseline"/>
        <w:rPr>
          <w:rFonts w:hint="eastAsia" w:ascii="仿宋_GB2312" w:eastAsia="仿宋_GB2312"/>
          <w:sz w:val="32"/>
          <w:szCs w:val="32"/>
          <w:lang w:val="en-US" w:eastAsia="zh-CN"/>
        </w:rPr>
      </w:pPr>
      <w:r>
        <w:rPr>
          <w:rFonts w:hint="eastAsia" w:ascii="楷体_GB2312" w:hAnsi="楷体_GB2312" w:eastAsia="楷体_GB2312" w:cs="楷体_GB2312"/>
          <w:bCs/>
          <w:sz w:val="32"/>
          <w:szCs w:val="32"/>
        </w:rPr>
        <w:t xml:space="preserve">——有序推进县以下事业单位管理岗位职员等级晋升。 </w:t>
      </w:r>
      <w:r>
        <w:rPr>
          <w:rFonts w:hint="eastAsia" w:ascii="仿宋_GB2312" w:eastAsia="仿宋_GB2312"/>
          <w:sz w:val="32"/>
          <w:szCs w:val="32"/>
        </w:rPr>
        <w:t>着眼于加强基层事业单位高素质专业化工作人员队伍建设，在县以下事业单位建立管理岗位职员等级晋升制度，将县以下事业单位管理岗位职员等级与岗位等级适当分离，形成岗位等级晋升制度之外新的晋升通道，拓展管理人员职业发展空间，激发管理人员积极性、主动性、创造性，为发展基层公共服务事业提供组织</w:t>
      </w:r>
      <w:r>
        <w:rPr>
          <w:rFonts w:hint="eastAsia" w:ascii="仿宋_GB2312" w:eastAsia="仿宋_GB2312"/>
          <w:sz w:val="32"/>
          <w:szCs w:val="32"/>
          <w:lang w:val="en-US" w:eastAsia="zh-CN"/>
        </w:rPr>
        <w:t>保障</w:t>
      </w:r>
      <w:r>
        <w:rPr>
          <w:rFonts w:hint="eastAsia" w:ascii="仿宋_GB2312" w:eastAsia="仿宋_GB2312"/>
          <w:sz w:val="32"/>
          <w:szCs w:val="32"/>
        </w:rPr>
        <w:t>。</w:t>
      </w:r>
    </w:p>
    <w:p>
      <w:pPr>
        <w:snapToGrid w:val="0"/>
        <w:spacing w:line="360" w:lineRule="auto"/>
        <w:ind w:firstLine="640" w:firstLineChars="200"/>
        <w:jc w:val="left"/>
        <w:textAlignment w:val="baseline"/>
        <w:rPr>
          <w:rFonts w:ascii="仿宋_GB2312" w:eastAsia="仿宋_GB2312"/>
          <w:sz w:val="32"/>
          <w:szCs w:val="32"/>
        </w:rPr>
      </w:pPr>
      <w:r>
        <w:rPr>
          <w:rFonts w:hint="eastAsia" w:ascii="楷体_GB2312" w:hAnsi="楷体_GB2312" w:eastAsia="楷体_GB2312" w:cs="楷体_GB2312"/>
          <w:bCs/>
          <w:sz w:val="32"/>
          <w:szCs w:val="32"/>
        </w:rPr>
        <w:t>——深入推进事业单位人事管理</w:t>
      </w:r>
      <w:r>
        <w:rPr>
          <w:rFonts w:ascii="楷体_GB2312" w:hAnsi="楷体_GB2312" w:eastAsia="楷体_GB2312" w:cs="楷体_GB2312"/>
          <w:bCs/>
          <w:sz w:val="32"/>
          <w:szCs w:val="32"/>
        </w:rPr>
        <w:t>“</w:t>
      </w:r>
      <w:r>
        <w:rPr>
          <w:rFonts w:hint="eastAsia" w:ascii="楷体_GB2312" w:hAnsi="楷体_GB2312" w:eastAsia="楷体_GB2312" w:cs="楷体_GB2312"/>
          <w:bCs/>
          <w:sz w:val="32"/>
          <w:szCs w:val="32"/>
        </w:rPr>
        <w:t>一件事</w:t>
      </w:r>
      <w:r>
        <w:rPr>
          <w:rFonts w:ascii="楷体_GB2312" w:hAnsi="楷体_GB2312" w:eastAsia="楷体_GB2312" w:cs="楷体_GB2312"/>
          <w:bCs/>
          <w:sz w:val="32"/>
          <w:szCs w:val="32"/>
        </w:rPr>
        <w:t>”</w:t>
      </w:r>
      <w:r>
        <w:rPr>
          <w:rFonts w:hint="eastAsia" w:ascii="楷体_GB2312" w:hAnsi="楷体_GB2312" w:eastAsia="楷体_GB2312" w:cs="楷体_GB2312"/>
          <w:bCs/>
          <w:sz w:val="32"/>
          <w:szCs w:val="32"/>
        </w:rPr>
        <w:t>服务。</w:t>
      </w:r>
      <w:r>
        <w:rPr>
          <w:rFonts w:hint="eastAsia" w:ascii="仿宋_GB2312" w:eastAsia="仿宋_GB2312"/>
          <w:sz w:val="32"/>
          <w:szCs w:val="32"/>
        </w:rPr>
        <w:t>梳理事业单位工作人员“进管出”重点环节，将公开招聘、人员调入、人员调出、岗位变动、解除聘用合同、开除、退休等7项业务，整合成“一件事”，实施联动办理，实现“一张表单申请、一个平台联办、一次不跑办成”。</w:t>
      </w:r>
    </w:p>
    <w:p>
      <w:pPr>
        <w:pStyle w:val="2"/>
        <w:widowControl w:val="0"/>
        <w:snapToGrid w:val="0"/>
        <w:spacing w:line="360" w:lineRule="auto"/>
        <w:ind w:firstLine="640" w:firstLineChars="200"/>
        <w:textAlignment w:val="baseline"/>
        <w:rPr>
          <w:rFonts w:ascii="楷体_GB2312" w:hAnsi="楷体_GB2312" w:eastAsia="楷体_GB2312" w:cs="楷体_GB2312"/>
          <w:bCs/>
          <w:sz w:val="32"/>
          <w:szCs w:val="32"/>
        </w:rPr>
      </w:pPr>
      <w:r>
        <w:rPr>
          <w:rFonts w:hint="eastAsia" w:ascii="楷体_GB2312" w:hAnsi="楷体_GB2312" w:eastAsia="楷体_GB2312" w:cs="楷体_GB2312"/>
          <w:bCs/>
          <w:sz w:val="32"/>
          <w:szCs w:val="32"/>
        </w:rPr>
        <w:t>——鼓励人才流动服务乡村振兴。</w:t>
      </w:r>
      <w:r>
        <w:rPr>
          <w:rFonts w:hint="eastAsia" w:ascii="仿宋_GB2312" w:eastAsia="仿宋_GB2312"/>
          <w:sz w:val="32"/>
          <w:szCs w:val="32"/>
        </w:rPr>
        <w:t>支持和鼓励高校、科研院所等事业单位科研人员按规定创新创业并取得合法报酬，支持和鼓励农业科技人员按规定入乡兼职兼薪和离岗创办企业。兼职创新、在职创办企业的科研人员可在兼职单位或所创办企业申报职称。</w:t>
      </w:r>
      <w:r>
        <w:rPr>
          <w:rFonts w:hint="eastAsia" w:eastAsia="仿宋_GB2312"/>
          <w:sz w:val="32"/>
          <w:szCs w:val="32"/>
        </w:rPr>
        <w:t>深入推进专家服务基层行动，整合各领域人才成立乡村振兴顾问团，支持引导退休专家和干部服</w:t>
      </w:r>
      <w:r>
        <w:rPr>
          <w:rFonts w:hint="eastAsia" w:ascii="仿宋_GB2312" w:eastAsia="仿宋_GB2312"/>
          <w:sz w:val="32"/>
          <w:szCs w:val="32"/>
        </w:rPr>
        <w:t>务乡村振兴，推动更多科技成果转化在基层。</w:t>
      </w:r>
    </w:p>
    <w:p>
      <w:pPr>
        <w:pStyle w:val="2"/>
        <w:widowControl w:val="0"/>
        <w:snapToGrid w:val="0"/>
        <w:spacing w:line="360" w:lineRule="auto"/>
        <w:ind w:firstLine="640" w:firstLineChars="200"/>
        <w:textAlignment w:val="baseline"/>
        <w:rPr>
          <w:rFonts w:ascii="仿宋_GB2312" w:eastAsia="仿宋_GB2312"/>
          <w:sz w:val="32"/>
          <w:szCs w:val="32"/>
        </w:rPr>
      </w:pPr>
      <w:r>
        <w:rPr>
          <w:rFonts w:hint="eastAsia" w:ascii="楷体_GB2312" w:hAnsi="楷体_GB2312" w:eastAsia="楷体_GB2312" w:cs="楷体_GB2312"/>
          <w:bCs/>
          <w:sz w:val="32"/>
          <w:szCs w:val="32"/>
        </w:rPr>
        <w:t>——落实人才激励有关政策。</w:t>
      </w:r>
      <w:r>
        <w:rPr>
          <w:rFonts w:hint="eastAsia" w:ascii="仿宋_GB2312" w:eastAsia="仿宋_GB2312"/>
          <w:sz w:val="32"/>
          <w:szCs w:val="32"/>
        </w:rPr>
        <w:t>落实事业单位高层次人才绩效工资总量单列、科研人员职务科技成果转化现金奖励等政策。对于事业单位认定为高层次人才的工作人员，加大绩效工资总量倾斜力度，创新工资分配形式，稳步提高工资待遇。以深化公立医院薪酬制度改革为抓手，指导用人单位探索完善职务科技成果转化收益分配机制，鼓励科研人员通过科技成果转化获得合理收入，使科研人员收入与实际贡献相匹配。指导国有企业分配向关键核心技术人才、高技能人才倾斜。加强人才表彰奖励工作。</w:t>
      </w:r>
    </w:p>
    <w:p>
      <w:pPr>
        <w:pStyle w:val="4"/>
        <w:snapToGrid w:val="0"/>
        <w:spacing w:line="360" w:lineRule="auto"/>
        <w:jc w:val="center"/>
        <w:textAlignment w:val="baseline"/>
        <w:rPr>
          <w:rFonts w:hint="eastAsia" w:ascii="Arial" w:hAnsi="Arial"/>
        </w:rPr>
      </w:pPr>
      <w:bookmarkStart w:id="364" w:name="_Toc11134"/>
      <w:bookmarkStart w:id="365" w:name="_Toc21556"/>
      <w:r>
        <w:rPr>
          <w:rFonts w:hint="eastAsia"/>
        </w:rPr>
        <w:t>第六节</w:t>
      </w:r>
      <w:r>
        <w:t xml:space="preserve"> </w:t>
      </w:r>
      <w:r>
        <w:rPr>
          <w:rFonts w:hint="eastAsia" w:ascii="Arial" w:hAnsi="Arial"/>
        </w:rPr>
        <w:t>着力提高人才服务水平</w:t>
      </w:r>
      <w:bookmarkEnd w:id="364"/>
      <w:bookmarkEnd w:id="365"/>
    </w:p>
    <w:p>
      <w:pPr>
        <w:snapToGrid w:val="0"/>
        <w:spacing w:line="360" w:lineRule="auto"/>
        <w:ind w:firstLine="640" w:firstLineChars="200"/>
        <w:textAlignment w:val="baseline"/>
        <w:rPr>
          <w:rFonts w:eastAsia="仿宋_GB2312"/>
          <w:sz w:val="32"/>
          <w:szCs w:val="32"/>
        </w:rPr>
      </w:pPr>
      <w:r>
        <w:rPr>
          <w:rFonts w:hint="eastAsia" w:eastAsia="仿宋_GB2312"/>
          <w:sz w:val="32"/>
          <w:szCs w:val="32"/>
        </w:rPr>
        <w:t>遵循人才成长规律，完善人才管理制度，加快推动政府人才管理职能向创造良好环境、提供优质服务转变。</w:t>
      </w:r>
    </w:p>
    <w:p>
      <w:pPr>
        <w:snapToGrid w:val="0"/>
        <w:spacing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—向用人主体充分授权。</w:t>
      </w:r>
      <w:r>
        <w:rPr>
          <w:rFonts w:hint="eastAsia" w:eastAsia="仿宋_GB2312"/>
          <w:sz w:val="32"/>
          <w:szCs w:val="32"/>
        </w:rPr>
        <w:t>充分向用人主体授权，完善人才管理制度，破除束缚人才发展的机制障碍，充分发挥用人单位在人才培养、引进、评价、使用中的主体作用。</w:t>
      </w:r>
    </w:p>
    <w:p>
      <w:pPr>
        <w:snapToGrid w:val="0"/>
        <w:spacing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加强人才服务平台建设。</w:t>
      </w:r>
      <w:r>
        <w:rPr>
          <w:rFonts w:hint="eastAsia" w:eastAsia="仿宋_GB2312"/>
          <w:sz w:val="32"/>
          <w:szCs w:val="32"/>
        </w:rPr>
        <w:t>完善人才数据库，动态掌握各类优秀人才，</w:t>
      </w:r>
      <w:r>
        <w:rPr>
          <w:rFonts w:eastAsia="仿宋_GB2312"/>
          <w:sz w:val="32"/>
          <w:szCs w:val="32"/>
        </w:rPr>
        <w:t>建设人才交流服务平台，推动州内人才、产业内人才的互动交流。</w:t>
      </w:r>
      <w:r>
        <w:rPr>
          <w:rFonts w:hint="eastAsia" w:eastAsia="仿宋_GB2312"/>
          <w:sz w:val="32"/>
          <w:szCs w:val="32"/>
        </w:rPr>
        <w:t>加强与对口帮扶城市或重点学科领先领域城市相关部门的对接，为州内高校、医院、科研院所等部门重点业务学科带头人的培育搭建交流合作平台。</w:t>
      </w:r>
      <w:r>
        <w:rPr>
          <w:rFonts w:eastAsia="仿宋_GB2312"/>
          <w:sz w:val="32"/>
          <w:szCs w:val="32"/>
        </w:rPr>
        <w:t>健全人才服务信息系统，推进网上“能办尽办”“一网通办”。</w:t>
      </w:r>
    </w:p>
    <w:p>
      <w:pPr>
        <w:snapToGrid w:val="0"/>
        <w:spacing w:line="360" w:lineRule="auto"/>
        <w:ind w:firstLine="640" w:firstLineChars="200"/>
        <w:textAlignment w:val="baseline"/>
        <w:rPr>
          <w:rFonts w:eastAsia="仿宋_GB2312"/>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加强人才服务队伍建设。</w:t>
      </w:r>
      <w:r>
        <w:rPr>
          <w:rFonts w:ascii="仿宋_GB2312" w:hAnsi="宋体" w:eastAsia="仿宋_GB2312" w:cs="仿宋_GB2312"/>
          <w:kern w:val="0"/>
          <w:sz w:val="31"/>
          <w:szCs w:val="31"/>
          <w:lang w:bidi="ar"/>
        </w:rPr>
        <w:t>健全完善人才联系服</w:t>
      </w:r>
      <w:r>
        <w:rPr>
          <w:rFonts w:hint="eastAsia" w:ascii="仿宋_GB2312" w:hAnsi="宋体" w:eastAsia="仿宋_GB2312" w:cs="仿宋_GB2312"/>
          <w:kern w:val="0"/>
          <w:sz w:val="31"/>
          <w:szCs w:val="31"/>
          <w:lang w:bidi="ar"/>
        </w:rPr>
        <w:t>务机制，</w:t>
      </w:r>
      <w:r>
        <w:rPr>
          <w:rFonts w:eastAsia="仿宋_GB2312"/>
          <w:sz w:val="32"/>
          <w:szCs w:val="32"/>
        </w:rPr>
        <w:t>引导用人单位</w:t>
      </w:r>
      <w:r>
        <w:rPr>
          <w:rFonts w:hint="eastAsia" w:eastAsia="仿宋_GB2312"/>
          <w:sz w:val="32"/>
          <w:szCs w:val="32"/>
        </w:rPr>
        <w:t>设立</w:t>
      </w:r>
      <w:r>
        <w:rPr>
          <w:rFonts w:eastAsia="仿宋_GB2312"/>
          <w:sz w:val="32"/>
          <w:szCs w:val="32"/>
        </w:rPr>
        <w:t>“人才服务专员”</w:t>
      </w:r>
      <w:r>
        <w:rPr>
          <w:rFonts w:hint="eastAsia" w:eastAsia="仿宋_GB2312"/>
          <w:sz w:val="32"/>
          <w:szCs w:val="32"/>
        </w:rPr>
        <w:t>，开展动态回访，定期掌握人才需求，解决人才困难。以行风建设为抓手，提升全州人社系统人才服务工作水平。</w:t>
      </w:r>
      <w:r>
        <w:rPr>
          <w:rFonts w:eastAsia="仿宋_GB2312"/>
          <w:sz w:val="32"/>
          <w:szCs w:val="32"/>
        </w:rPr>
        <w:t>围绕</w:t>
      </w:r>
      <w:r>
        <w:rPr>
          <w:rFonts w:hint="eastAsia" w:eastAsia="仿宋_GB2312"/>
          <w:sz w:val="32"/>
          <w:szCs w:val="32"/>
        </w:rPr>
        <w:t>人才工作</w:t>
      </w:r>
      <w:r>
        <w:rPr>
          <w:rFonts w:eastAsia="仿宋_GB2312"/>
          <w:sz w:val="32"/>
          <w:szCs w:val="32"/>
        </w:rPr>
        <w:t>政策、</w:t>
      </w:r>
      <w:r>
        <w:rPr>
          <w:rFonts w:hint="eastAsia" w:eastAsia="仿宋_GB2312"/>
          <w:sz w:val="32"/>
          <w:szCs w:val="32"/>
        </w:rPr>
        <w:t>服务能力</w:t>
      </w:r>
      <w:r>
        <w:rPr>
          <w:rFonts w:eastAsia="仿宋_GB2312"/>
          <w:sz w:val="32"/>
          <w:szCs w:val="32"/>
        </w:rPr>
        <w:t>等重点内容，开展</w:t>
      </w:r>
      <w:r>
        <w:rPr>
          <w:rFonts w:hint="eastAsia" w:eastAsia="仿宋_GB2312"/>
          <w:sz w:val="32"/>
          <w:szCs w:val="32"/>
        </w:rPr>
        <w:t>人才服务队伍</w:t>
      </w:r>
      <w:r>
        <w:rPr>
          <w:rFonts w:eastAsia="仿宋_GB2312"/>
          <w:sz w:val="32"/>
          <w:szCs w:val="32"/>
        </w:rPr>
        <w:t>培训</w:t>
      </w:r>
      <w:r>
        <w:rPr>
          <w:rFonts w:hint="eastAsia" w:eastAsia="仿宋_GB2312"/>
          <w:sz w:val="32"/>
          <w:szCs w:val="32"/>
        </w:rPr>
        <w:t>，</w:t>
      </w:r>
      <w:r>
        <w:rPr>
          <w:rFonts w:eastAsia="仿宋_GB2312"/>
          <w:sz w:val="32"/>
          <w:szCs w:val="32"/>
        </w:rPr>
        <w:t>提升人才服务工作者整体素质</w:t>
      </w:r>
      <w:r>
        <w:rPr>
          <w:rFonts w:hint="eastAsia" w:eastAsia="仿宋_GB2312"/>
          <w:sz w:val="32"/>
          <w:szCs w:val="32"/>
        </w:rPr>
        <w:t>。</w:t>
      </w:r>
    </w:p>
    <w:p>
      <w:pPr>
        <w:pStyle w:val="2"/>
        <w:snapToGrid w:val="0"/>
        <w:spacing w:line="360" w:lineRule="auto"/>
        <w:ind w:left="0" w:leftChars="0" w:firstLine="640" w:firstLineChars="200"/>
        <w:textAlignment w:val="baseline"/>
      </w:pPr>
      <w:r>
        <w:rPr>
          <w:rFonts w:hint="eastAsia" w:ascii="楷体_GB2312" w:hAnsi="楷体_GB2312" w:eastAsia="楷体_GB2312" w:cs="楷体_GB2312"/>
          <w:bCs/>
          <w:sz w:val="32"/>
          <w:szCs w:val="32"/>
        </w:rPr>
        <w:t>——</w:t>
      </w:r>
      <w:r>
        <w:rPr>
          <w:rFonts w:hint="eastAsia" w:ascii="楷体_GB2312" w:hAnsi="楷体_GB2312" w:eastAsia="楷体_GB2312" w:cs="楷体_GB2312"/>
          <w:sz w:val="32"/>
          <w:szCs w:val="32"/>
        </w:rPr>
        <w:t>加快人力资源服务业发展。</w:t>
      </w:r>
      <w:r>
        <w:rPr>
          <w:rFonts w:hint="eastAsia" w:eastAsia="仿宋_GB2312"/>
          <w:bCs/>
          <w:sz w:val="32"/>
          <w:szCs w:val="32"/>
        </w:rPr>
        <w:t>大力发展人力资源服务业，推动实现人才资源市场化高效配置。建设高标准人力资源市场体系，推动人力资源服务业高质量发展，鼓励、支持社会人才服务机构参与人才配置和提供</w:t>
      </w:r>
      <w:r>
        <w:rPr>
          <w:rFonts w:hint="eastAsia" w:eastAsia="仿宋_GB2312"/>
          <w:sz w:val="32"/>
          <w:szCs w:val="32"/>
        </w:rPr>
        <w:t>公共服务，促进人才供求主体</w:t>
      </w:r>
      <w:r>
        <w:rPr>
          <w:rFonts w:hint="eastAsia" w:eastAsia="仿宋_GB2312"/>
          <w:bCs/>
          <w:sz w:val="32"/>
          <w:szCs w:val="32"/>
        </w:rPr>
        <w:t>到位。</w:t>
      </w:r>
      <w:r>
        <w:rPr>
          <w:rFonts w:hint="eastAsia" w:ascii="仿宋_GB2312" w:hAnsi="宋体" w:eastAsia="仿宋_GB2312" w:cs="仿宋_GB2312"/>
          <w:kern w:val="0"/>
          <w:sz w:val="31"/>
          <w:szCs w:val="31"/>
          <w:lang w:bidi="ar"/>
        </w:rPr>
        <w:t>健全规范人力资源市场体系，破除人才在城乡、区域和不同所有制单位间的流动</w:t>
      </w:r>
      <w:r>
        <w:rPr>
          <w:rFonts w:hint="eastAsia" w:eastAsia="仿宋_GB2312"/>
          <w:bCs/>
          <w:sz w:val="32"/>
          <w:szCs w:val="32"/>
        </w:rPr>
        <w:t>障碍，推进流动人员档案信息化建设，为人才合理流动提供优质便捷的档案管理服务。建立区域性人力资源产业协会，促进人力资源服务产业人才共享共用。</w:t>
      </w:r>
    </w:p>
    <w:p>
      <w:pPr>
        <w:pStyle w:val="2"/>
        <w:snapToGrid w:val="0"/>
        <w:spacing w:line="576" w:lineRule="exact"/>
        <w:ind w:left="0" w:leftChars="0" w:firstLine="420" w:firstLineChars="200"/>
        <w:textAlignment w:val="baseline"/>
        <w:rPr>
          <w:kern w:val="0"/>
        </w:rPr>
        <w:sectPr>
          <w:pgSz w:w="11905" w:h="16838"/>
          <w:pgMar w:top="1814" w:right="1587" w:bottom="1701" w:left="1587" w:header="720" w:footer="720" w:gutter="0"/>
          <w:pgNumType w:fmt="numberInDash"/>
          <w:cols w:space="0" w:num="1"/>
          <w:titlePg/>
        </w:sectPr>
      </w:pPr>
    </w:p>
    <w:p>
      <w:pPr>
        <w:pStyle w:val="3"/>
        <w:snapToGrid w:val="0"/>
        <w:spacing w:before="0" w:after="0" w:line="360" w:lineRule="auto"/>
        <w:jc w:val="center"/>
        <w:textAlignment w:val="baseline"/>
        <w:rPr>
          <w:rFonts w:ascii="方正小标宋简体" w:hAnsi="仿宋_GB2312" w:eastAsia="方正小标宋简体" w:cs="仿宋_GB2312"/>
          <w:b w:val="0"/>
          <w:sz w:val="32"/>
          <w:szCs w:val="32"/>
        </w:rPr>
      </w:pPr>
      <w:bookmarkStart w:id="366" w:name="_Toc3367"/>
      <w:bookmarkStart w:id="367" w:name="_Toc7925"/>
      <w:bookmarkStart w:id="368" w:name="_Toc31824"/>
      <w:bookmarkStart w:id="369" w:name="_Toc7054"/>
      <w:r>
        <w:rPr>
          <w:rFonts w:hint="eastAsia" w:ascii="方正小标宋简体" w:eastAsia="方正小标宋简体"/>
          <w:b w:val="0"/>
        </w:rPr>
        <w:t>第五章 持续筑牢社会保障底线</w:t>
      </w:r>
      <w:bookmarkEnd w:id="366"/>
    </w:p>
    <w:p>
      <w:pPr>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深入实施全民参保计划，坚持兜底线、织密网、建机制，健全覆盖全民、统筹城乡、公平统一、可持续的多层次社会保障体系。强化政策宣传引导，针对不同参保</w:t>
      </w:r>
      <w:r>
        <w:rPr>
          <w:rFonts w:hint="eastAsia" w:ascii="仿宋_GB2312" w:hAnsi="仿宋" w:eastAsia="仿宋_GB2312"/>
          <w:sz w:val="32"/>
          <w:szCs w:val="32"/>
        </w:rPr>
        <w:t>人员开展分类管理和精准服务，</w:t>
      </w:r>
      <w:r>
        <w:rPr>
          <w:rFonts w:hint="eastAsia" w:ascii="仿宋_GB2312" w:hAnsi="仿宋_GB2312" w:eastAsia="仿宋_GB2312" w:cs="仿宋_GB2312"/>
          <w:sz w:val="32"/>
          <w:szCs w:val="32"/>
        </w:rPr>
        <w:t>养老、失业、工伤保险实现应保尽保，参保缴费质量显著提高。深入推进社会保险制度改革，统筹层次不断提高，社会保障体系日益健全。大力健全社保待遇确定和调整机制，城乡、区域、群体间保障水平合理衔接，社会保险基金运行安全可持续。</w:t>
      </w:r>
    </w:p>
    <w:p>
      <w:pPr>
        <w:snapToGrid w:val="0"/>
        <w:spacing w:line="560" w:lineRule="exact"/>
        <w:ind w:firstLine="640" w:firstLineChars="200"/>
        <w:textAlignment w:val="baseline"/>
        <w:rPr>
          <w:rFonts w:ascii="仿宋_GB2312" w:hAnsi="仿宋_GB2312" w:eastAsia="仿宋_GB2312" w:cs="仿宋_GB2312"/>
          <w:sz w:val="32"/>
          <w:szCs w:val="32"/>
        </w:rPr>
      </w:pPr>
    </w:p>
    <w:p>
      <w:pPr>
        <w:pStyle w:val="4"/>
        <w:snapToGrid w:val="0"/>
        <w:spacing w:line="413" w:lineRule="auto"/>
        <w:jc w:val="center"/>
        <w:textAlignment w:val="baseline"/>
      </w:pPr>
      <w:bookmarkStart w:id="370" w:name="_Toc19750"/>
      <w:r>
        <w:rPr>
          <w:rFonts w:hint="eastAsia"/>
        </w:rPr>
        <w:t>第一节 不断完善社会保险制度</w:t>
      </w:r>
      <w:bookmarkEnd w:id="370"/>
    </w:p>
    <w:p>
      <w:pPr>
        <w:snapToGrid w:val="0"/>
        <w:spacing w:line="560" w:lineRule="exact"/>
        <w:ind w:firstLine="640" w:firstLineChars="200"/>
        <w:textAlignment w:val="baseline"/>
        <w:rPr>
          <w:rFonts w:ascii="仿宋_GB2312" w:eastAsia="仿宋_GB2312" w:cs="仿宋_GB2312"/>
          <w:sz w:val="32"/>
          <w:szCs w:val="32"/>
        </w:rPr>
      </w:pPr>
      <w:r>
        <w:rPr>
          <w:rFonts w:hint="eastAsia" w:ascii="仿宋_GB2312" w:hAnsi="仿宋_GB2312" w:eastAsia="仿宋_GB2312" w:cs="仿宋_GB2312"/>
          <w:sz w:val="32"/>
          <w:szCs w:val="32"/>
        </w:rPr>
        <w:t>加强城镇企业职工基本养老保险制度和机关事业单位养老保险制度，夯实企业职工养老保险基础数据，为企业职工基本养老保险全国统筹奠定基础。发展企业年金、职业年金，推动个人养老金发展，建立多层次、多支柱养老保险体系。深入开展划转部分国有资本充实社会保险基金工作，完善社会保险基金预决算制度，增强社会保险基金的可持续性</w:t>
      </w:r>
      <w:r>
        <w:rPr>
          <w:rFonts w:hint="eastAsia" w:ascii="仿宋_GB2312" w:hAnsi="仿宋_GB2312" w:eastAsia="仿宋_GB2312" w:cs="仿宋_GB2312"/>
          <w:color w:val="auto"/>
          <w:sz w:val="32"/>
          <w:szCs w:val="32"/>
          <w:u w:val="none"/>
        </w:rPr>
        <w:t>。</w:t>
      </w:r>
      <w:r>
        <w:rPr>
          <w:rFonts w:hint="eastAsia" w:ascii="仿宋_GB2312" w:eastAsia="仿宋_GB2312" w:cs="仿宋_GB2312"/>
          <w:color w:val="auto"/>
          <w:sz w:val="32"/>
          <w:szCs w:val="32"/>
          <w:u w:val="none"/>
        </w:rPr>
        <w:t>完善城乡居民基本养老保险制度，建立城乡居民基本养老保险待遇确定和基础养老金正常调整机制</w:t>
      </w:r>
      <w:r>
        <w:rPr>
          <w:rFonts w:ascii="仿宋_GB2312" w:eastAsia="仿宋_GB2312" w:cs="仿宋_GB2312"/>
          <w:color w:val="auto"/>
          <w:sz w:val="32"/>
          <w:szCs w:val="32"/>
          <w:u w:val="none"/>
        </w:rPr>
        <w:t>，积极提高保障水平，增加政策吸引力</w:t>
      </w:r>
      <w:r>
        <w:rPr>
          <w:rFonts w:hint="eastAsia" w:ascii="仿宋_GB2312" w:eastAsia="仿宋_GB2312" w:cs="仿宋_GB2312"/>
          <w:color w:val="auto"/>
          <w:sz w:val="32"/>
          <w:szCs w:val="32"/>
          <w:u w:val="none"/>
        </w:rPr>
        <w:t>。</w:t>
      </w:r>
      <w:r>
        <w:rPr>
          <w:rFonts w:hint="eastAsia" w:eastAsia="仿宋_GB2312"/>
          <w:sz w:val="32"/>
          <w:szCs w:val="32"/>
        </w:rPr>
        <w:t>落实渐进式延迟法定退休年龄政策。</w:t>
      </w:r>
      <w:r>
        <w:rPr>
          <w:rFonts w:hint="eastAsia" w:ascii="仿宋_GB2312" w:eastAsia="仿宋_GB2312" w:cs="仿宋_GB2312"/>
          <w:sz w:val="32"/>
          <w:szCs w:val="32"/>
        </w:rPr>
        <w:t>推进被征地农民社会保障政策落实。进一步发挥积极稳健的失业保险制度作用，畅通待遇申领渠道，扩大失业保险保障范围。支持参保企业稳岗，参保职工提升职业技能。建立完善村干部社会保险制度，健全和完善工伤保险制度，探索构建多层次工伤保险制度体系，依法将各类职业人群纳入工伤保险覆盖范围。加强工伤预防和工伤康复工作，完善相关措施和标准，进一步提高工伤保险管理服务水平。</w:t>
      </w:r>
    </w:p>
    <w:p>
      <w:pPr>
        <w:snapToGrid w:val="0"/>
        <w:spacing w:line="560" w:lineRule="exact"/>
        <w:ind w:firstLine="640" w:firstLineChars="200"/>
        <w:textAlignment w:val="baseline"/>
        <w:rPr>
          <w:rFonts w:ascii="仿宋_GB2312" w:eastAsia="仿宋_GB2312" w:cs="仿宋_GB2312"/>
          <w:sz w:val="32"/>
          <w:szCs w:val="32"/>
        </w:rPr>
      </w:pPr>
    </w:p>
    <w:p>
      <w:pPr>
        <w:pStyle w:val="4"/>
        <w:snapToGrid w:val="0"/>
        <w:spacing w:line="413" w:lineRule="auto"/>
        <w:jc w:val="center"/>
        <w:textAlignment w:val="baseline"/>
      </w:pPr>
      <w:bookmarkStart w:id="371" w:name="_Toc27474"/>
      <w:r>
        <w:rPr>
          <w:rFonts w:hint="eastAsia"/>
        </w:rPr>
        <w:t>第二节 持续扩大社会保险覆盖面</w:t>
      </w:r>
      <w:bookmarkEnd w:id="371"/>
    </w:p>
    <w:p>
      <w:pPr>
        <w:spacing w:line="560" w:lineRule="exact"/>
        <w:ind w:firstLine="640" w:firstLineChars="200"/>
        <w:jc w:val="both"/>
        <w:rPr>
          <w:color w:val="auto"/>
          <w:highlight w:val="none"/>
          <w:u w:val="none"/>
        </w:rPr>
      </w:pPr>
      <w:r>
        <w:rPr>
          <w:rFonts w:hint="eastAsia" w:ascii="楷体_GB2312" w:eastAsia="楷体_GB2312" w:cs="楷体_GB2312"/>
          <w:b w:val="0"/>
          <w:bCs/>
          <w:i w:val="0"/>
          <w:caps w:val="0"/>
          <w:smallCaps w:val="0"/>
          <w:spacing w:val="0"/>
          <w:w w:val="100"/>
          <w:sz w:val="32"/>
          <w:szCs w:val="32"/>
        </w:rPr>
        <w:t>——</w:t>
      </w:r>
      <w:r>
        <w:rPr>
          <w:rFonts w:hint="eastAsia" w:ascii="楷体_GB2312" w:eastAsia="楷体_GB2312" w:cs="楷体_GB2312"/>
          <w:b w:val="0"/>
          <w:i w:val="0"/>
          <w:caps w:val="0"/>
          <w:smallCaps w:val="0"/>
          <w:spacing w:val="0"/>
          <w:w w:val="100"/>
          <w:sz w:val="32"/>
          <w:szCs w:val="32"/>
        </w:rPr>
        <w:t>全面实施全民参保计划</w:t>
      </w:r>
      <w:r>
        <w:rPr>
          <w:rFonts w:hint="eastAsia" w:ascii="楷体_GB2312" w:eastAsia="楷体_GB2312" w:cs="楷体_GB2312"/>
          <w:b w:val="0"/>
          <w:i w:val="0"/>
          <w:caps w:val="0"/>
          <w:smallCaps w:val="0"/>
          <w:color w:val="auto"/>
          <w:spacing w:val="0"/>
          <w:w w:val="100"/>
          <w:sz w:val="32"/>
          <w:szCs w:val="32"/>
          <w:highlight w:val="none"/>
          <w:u w:val="none"/>
        </w:rPr>
        <w:t>。</w:t>
      </w:r>
      <w:r>
        <w:rPr>
          <w:rFonts w:hint="eastAsia" w:ascii="仿宋_GB2312" w:eastAsia="仿宋_GB2312" w:cs="仿宋_GB2312"/>
          <w:b w:val="0"/>
          <w:i w:val="0"/>
          <w:caps w:val="0"/>
          <w:smallCaps w:val="0"/>
          <w:color w:val="auto"/>
          <w:spacing w:val="0"/>
          <w:w w:val="100"/>
          <w:sz w:val="32"/>
          <w:szCs w:val="32"/>
          <w:highlight w:val="none"/>
          <w:u w:val="none"/>
        </w:rPr>
        <w:t>构建部门协作，同抓共管的工作机制，</w:t>
      </w:r>
      <w:r>
        <w:rPr>
          <w:rFonts w:hint="eastAsia" w:ascii="仿宋_GB2312" w:eastAsia="仿宋_GB2312"/>
          <w:color w:val="auto"/>
          <w:sz w:val="32"/>
          <w:szCs w:val="32"/>
          <w:highlight w:val="none"/>
          <w:u w:val="none"/>
        </w:rPr>
        <w:t xml:space="preserve">推动实现职工基本养老保险由制度全覆盖到法定人群全覆盖，放开灵活就业人员在就业地参加社会保险的户籍限 </w:t>
      </w:r>
    </w:p>
    <w:p>
      <w:pPr>
        <w:spacing w:line="560" w:lineRule="exact"/>
        <w:jc w:val="both"/>
        <w:rPr>
          <w:highlight w:val="yellow"/>
        </w:rPr>
      </w:pPr>
      <w:r>
        <w:rPr>
          <w:rFonts w:hint="eastAsia" w:ascii="仿宋_GB2312" w:eastAsia="仿宋_GB2312"/>
          <w:color w:val="auto"/>
          <w:sz w:val="32"/>
          <w:szCs w:val="32"/>
          <w:highlight w:val="none"/>
          <w:u w:val="none"/>
        </w:rPr>
        <w:t>制，积极促进有意愿、有缴费能力的灵活就业人员以及新就业形态从业人员等参加企业职工基本养老保险</w:t>
      </w:r>
      <w:r>
        <w:rPr>
          <w:rFonts w:ascii="仿宋_GB2312" w:eastAsia="仿宋_GB2312" w:cs="仿宋_GB2312"/>
          <w:b w:val="0"/>
          <w:i w:val="0"/>
          <w:caps w:val="0"/>
          <w:smallCaps w:val="0"/>
          <w:color w:val="auto"/>
          <w:spacing w:val="0"/>
          <w:w w:val="100"/>
          <w:sz w:val="32"/>
          <w:szCs w:val="32"/>
          <w:highlight w:val="none"/>
          <w:u w:val="none"/>
        </w:rPr>
        <w:t>；</w:t>
      </w:r>
      <w:r>
        <w:rPr>
          <w:rFonts w:ascii="仿宋_GB2312" w:eastAsia="仿宋_GB2312" w:cs="仿宋_GB2312"/>
          <w:color w:val="auto"/>
          <w:sz w:val="32"/>
          <w:szCs w:val="32"/>
          <w:highlight w:val="none"/>
          <w:u w:val="none"/>
        </w:rPr>
        <w:t>加大宣传力度，</w:t>
      </w:r>
      <w:r>
        <w:rPr>
          <w:rFonts w:hint="eastAsia" w:eastAsia="仿宋_GB2312"/>
          <w:b w:val="0"/>
          <w:bCs/>
          <w:i w:val="0"/>
          <w:caps w:val="0"/>
          <w:smallCaps w:val="0"/>
          <w:spacing w:val="0"/>
          <w:w w:val="100"/>
          <w:sz w:val="32"/>
          <w:szCs w:val="32"/>
        </w:rPr>
        <w:t>加强应保未保人员的动态分析和管理，</w:t>
      </w:r>
      <w:r>
        <w:rPr>
          <w:rFonts w:hint="eastAsia" w:ascii="仿宋_GB2312" w:eastAsia="仿宋_GB2312" w:cs="仿宋_GB2312"/>
          <w:b w:val="0"/>
          <w:i w:val="0"/>
          <w:caps w:val="0"/>
          <w:smallCaps w:val="0"/>
          <w:spacing w:val="0"/>
          <w:w w:val="100"/>
          <w:sz w:val="32"/>
          <w:szCs w:val="32"/>
        </w:rPr>
        <w:t>充分发挥失业保险保生活、促就业、防失业功能，将符合条件的就业人员纳入失业保险制度范围</w:t>
      </w:r>
      <w:r>
        <w:rPr>
          <w:rFonts w:ascii="仿宋_GB2312" w:eastAsia="仿宋_GB2312" w:cs="仿宋_GB2312"/>
          <w:b w:val="0"/>
          <w:i w:val="0"/>
          <w:caps w:val="0"/>
          <w:smallCaps w:val="0"/>
          <w:spacing w:val="0"/>
          <w:w w:val="100"/>
          <w:sz w:val="32"/>
          <w:szCs w:val="32"/>
        </w:rPr>
        <w:t>；</w:t>
      </w:r>
      <w:r>
        <w:rPr>
          <w:rFonts w:hint="eastAsia" w:ascii="仿宋_GB2312" w:eastAsia="仿宋_GB2312" w:cs="仿宋_GB2312"/>
          <w:b w:val="0"/>
          <w:i w:val="0"/>
          <w:caps w:val="0"/>
          <w:smallCaps w:val="0"/>
          <w:spacing w:val="0"/>
          <w:w w:val="100"/>
          <w:sz w:val="32"/>
          <w:szCs w:val="32"/>
        </w:rPr>
        <w:t>扩大工伤保险覆盖范围，基本覆盖各类用人单位</w:t>
      </w:r>
      <w:r>
        <w:rPr>
          <w:rFonts w:ascii="仿宋_GB2312" w:eastAsia="仿宋_GB2312" w:cs="仿宋_GB2312"/>
          <w:b w:val="0"/>
          <w:i w:val="0"/>
          <w:caps w:val="0"/>
          <w:smallCaps w:val="0"/>
          <w:spacing w:val="0"/>
          <w:w w:val="100"/>
          <w:sz w:val="32"/>
          <w:szCs w:val="32"/>
        </w:rPr>
        <w:t>；</w:t>
      </w:r>
      <w:r>
        <w:rPr>
          <w:rFonts w:hint="eastAsia" w:ascii="仿宋_GB2312" w:eastAsia="仿宋_GB2312" w:cs="仿宋_GB2312"/>
          <w:b w:val="0"/>
          <w:i w:val="0"/>
          <w:caps w:val="0"/>
          <w:smallCaps w:val="0"/>
          <w:spacing w:val="0"/>
          <w:w w:val="100"/>
          <w:sz w:val="32"/>
          <w:szCs w:val="32"/>
        </w:rPr>
        <w:t>对未就业的贫困群体实施政策性兜底</w:t>
      </w:r>
      <w:r>
        <w:rPr>
          <w:rFonts w:hint="eastAsia" w:eastAsia="仿宋_GB2312"/>
          <w:b w:val="0"/>
          <w:i w:val="0"/>
          <w:caps w:val="0"/>
          <w:smallCaps w:val="0"/>
          <w:spacing w:val="0"/>
          <w:w w:val="100"/>
          <w:sz w:val="32"/>
          <w:szCs w:val="32"/>
        </w:rPr>
        <w:t>保障</w:t>
      </w:r>
      <w:r>
        <w:rPr>
          <w:rFonts w:eastAsia="仿宋_GB2312"/>
          <w:b w:val="0"/>
          <w:i w:val="0"/>
          <w:caps w:val="0"/>
          <w:smallCaps w:val="0"/>
          <w:spacing w:val="0"/>
          <w:w w:val="100"/>
          <w:sz w:val="32"/>
          <w:szCs w:val="32"/>
        </w:rPr>
        <w:t>，</w:t>
      </w:r>
      <w:r>
        <w:rPr>
          <w:rFonts w:hint="eastAsia" w:ascii="仿宋_GB2312" w:eastAsia="仿宋_GB2312" w:cs="仿宋_GB2312"/>
          <w:b w:val="0"/>
          <w:i w:val="0"/>
          <w:caps w:val="0"/>
          <w:smallCaps w:val="0"/>
          <w:spacing w:val="0"/>
          <w:w w:val="100"/>
          <w:sz w:val="32"/>
          <w:szCs w:val="32"/>
        </w:rPr>
        <w:t>深入推进城乡居民基本养老保险应保尽保</w:t>
      </w:r>
      <w:r>
        <w:rPr>
          <w:rFonts w:ascii="仿宋_GB2312" w:eastAsia="仿宋_GB2312" w:cs="仿宋_GB2312"/>
          <w:b w:val="0"/>
          <w:i w:val="0"/>
          <w:caps w:val="0"/>
          <w:smallCaps w:val="0"/>
          <w:spacing w:val="0"/>
          <w:w w:val="100"/>
          <w:sz w:val="32"/>
          <w:szCs w:val="32"/>
        </w:rPr>
        <w:t>；</w:t>
      </w:r>
      <w:r>
        <w:rPr>
          <w:rFonts w:ascii="仿宋_GB2312" w:eastAsia="仿宋_GB2312" w:cs="仿宋_GB2312"/>
          <w:b w:val="0"/>
          <w:i w:val="0"/>
          <w:caps w:val="0"/>
          <w:smallCaps w:val="0"/>
          <w:color w:val="auto"/>
          <w:spacing w:val="0"/>
          <w:w w:val="100"/>
          <w:sz w:val="32"/>
          <w:szCs w:val="32"/>
          <w:highlight w:val="none"/>
          <w:u w:val="none"/>
        </w:rPr>
        <w:t>继续落实降低社会保险费率</w:t>
      </w:r>
      <w:r>
        <w:rPr>
          <w:rFonts w:hint="eastAsia" w:ascii="仿宋_GB2312" w:eastAsia="仿宋_GB2312" w:cs="仿宋_GB2312"/>
          <w:b w:val="0"/>
          <w:i w:val="0"/>
          <w:caps w:val="0"/>
          <w:smallCaps w:val="0"/>
          <w:color w:val="auto"/>
          <w:spacing w:val="0"/>
          <w:w w:val="100"/>
          <w:sz w:val="32"/>
          <w:szCs w:val="32"/>
          <w:highlight w:val="none"/>
          <w:u w:val="none"/>
          <w:lang w:eastAsia="zh-CN"/>
        </w:rPr>
        <w:t>、</w:t>
      </w:r>
      <w:r>
        <w:rPr>
          <w:rFonts w:ascii="仿宋_GB2312" w:eastAsia="仿宋_GB2312" w:cs="仿宋_GB2312"/>
          <w:b w:val="0"/>
          <w:i w:val="0"/>
          <w:caps w:val="0"/>
          <w:smallCaps w:val="0"/>
          <w:color w:val="auto"/>
          <w:spacing w:val="0"/>
          <w:w w:val="100"/>
          <w:sz w:val="32"/>
          <w:szCs w:val="32"/>
          <w:highlight w:val="none"/>
          <w:u w:val="none"/>
        </w:rPr>
        <w:t>稳岗返还等援企惠民政策，提高企业参保积极性主动性，</w:t>
      </w:r>
      <w:r>
        <w:rPr>
          <w:rFonts w:hint="eastAsia" w:ascii="仿宋_GB2312" w:eastAsia="仿宋_GB2312" w:cs="仿宋_GB2312"/>
          <w:b w:val="0"/>
          <w:i w:val="0"/>
          <w:caps w:val="0"/>
          <w:smallCaps w:val="0"/>
          <w:color w:val="auto"/>
          <w:spacing w:val="0"/>
          <w:w w:val="100"/>
          <w:sz w:val="32"/>
          <w:szCs w:val="32"/>
          <w:highlight w:val="none"/>
          <w:u w:val="none"/>
        </w:rPr>
        <w:t>推进中小微企业参保实现新突破</w:t>
      </w:r>
      <w:r>
        <w:rPr>
          <w:rFonts w:ascii="仿宋_GB2312" w:eastAsia="仿宋_GB2312" w:cs="仿宋_GB2312"/>
          <w:b w:val="0"/>
          <w:i w:val="0"/>
          <w:caps w:val="0"/>
          <w:smallCaps w:val="0"/>
          <w:color w:val="auto"/>
          <w:spacing w:val="0"/>
          <w:w w:val="100"/>
          <w:sz w:val="32"/>
          <w:szCs w:val="32"/>
          <w:highlight w:val="none"/>
          <w:u w:val="none"/>
        </w:rPr>
        <w:t>；</w:t>
      </w:r>
      <w:r>
        <w:rPr>
          <w:rFonts w:hint="eastAsia" w:eastAsia="仿宋_GB2312"/>
          <w:b w:val="0"/>
          <w:i w:val="0"/>
          <w:caps w:val="0"/>
          <w:smallCaps w:val="0"/>
          <w:color w:val="auto"/>
          <w:spacing w:val="0"/>
          <w:w w:val="100"/>
          <w:sz w:val="32"/>
          <w:szCs w:val="32"/>
          <w:highlight w:val="none"/>
          <w:u w:val="none"/>
        </w:rPr>
        <w:t>城镇职工基本养老保险、城乡居民基本养老保险、失业保险、工伤保险参保人数分别达到</w:t>
      </w:r>
      <w:r>
        <w:rPr>
          <w:rFonts w:eastAsia="仿宋_GB2312"/>
          <w:b w:val="0"/>
          <w:i w:val="0"/>
          <w:caps w:val="0"/>
          <w:smallCaps w:val="0"/>
          <w:color w:val="auto"/>
          <w:spacing w:val="0"/>
          <w:w w:val="100"/>
          <w:sz w:val="32"/>
          <w:szCs w:val="32"/>
          <w:highlight w:val="none"/>
          <w:u w:val="none"/>
        </w:rPr>
        <w:t>48.2</w:t>
      </w:r>
      <w:r>
        <w:rPr>
          <w:rFonts w:hint="eastAsia" w:eastAsia="仿宋_GB2312"/>
          <w:b w:val="0"/>
          <w:i w:val="0"/>
          <w:caps w:val="0"/>
          <w:smallCaps w:val="0"/>
          <w:color w:val="auto"/>
          <w:spacing w:val="0"/>
          <w:w w:val="100"/>
          <w:sz w:val="32"/>
          <w:szCs w:val="32"/>
          <w:highlight w:val="none"/>
          <w:u w:val="none"/>
        </w:rPr>
        <w:t>万人、</w:t>
      </w:r>
      <w:r>
        <w:rPr>
          <w:rFonts w:eastAsia="仿宋_GB2312"/>
          <w:b w:val="0"/>
          <w:i w:val="0"/>
          <w:caps w:val="0"/>
          <w:smallCaps w:val="0"/>
          <w:color w:val="auto"/>
          <w:spacing w:val="0"/>
          <w:w w:val="100"/>
          <w:sz w:val="32"/>
          <w:szCs w:val="32"/>
          <w:highlight w:val="none"/>
          <w:u w:val="none"/>
        </w:rPr>
        <w:t>227.5</w:t>
      </w:r>
      <w:r>
        <w:rPr>
          <w:rFonts w:hint="eastAsia" w:eastAsia="仿宋_GB2312"/>
          <w:b w:val="0"/>
          <w:i w:val="0"/>
          <w:caps w:val="0"/>
          <w:smallCaps w:val="0"/>
          <w:color w:val="auto"/>
          <w:spacing w:val="0"/>
          <w:w w:val="100"/>
          <w:sz w:val="32"/>
          <w:szCs w:val="32"/>
          <w:highlight w:val="none"/>
          <w:u w:val="none"/>
        </w:rPr>
        <w:t>万人、</w:t>
      </w:r>
      <w:r>
        <w:rPr>
          <w:rFonts w:eastAsia="仿宋_GB2312"/>
          <w:b w:val="0"/>
          <w:i w:val="0"/>
          <w:caps w:val="0"/>
          <w:smallCaps w:val="0"/>
          <w:color w:val="auto"/>
          <w:spacing w:val="0"/>
          <w:w w:val="100"/>
          <w:sz w:val="32"/>
          <w:szCs w:val="32"/>
          <w:highlight w:val="none"/>
          <w:u w:val="none"/>
        </w:rPr>
        <w:t>23.5</w:t>
      </w:r>
      <w:r>
        <w:rPr>
          <w:rFonts w:hint="eastAsia" w:eastAsia="仿宋_GB2312"/>
          <w:b w:val="0"/>
          <w:i w:val="0"/>
          <w:caps w:val="0"/>
          <w:smallCaps w:val="0"/>
          <w:color w:val="auto"/>
          <w:spacing w:val="0"/>
          <w:w w:val="100"/>
          <w:sz w:val="32"/>
          <w:szCs w:val="32"/>
          <w:highlight w:val="none"/>
          <w:u w:val="none"/>
        </w:rPr>
        <w:t>万人、</w:t>
      </w:r>
      <w:r>
        <w:rPr>
          <w:rFonts w:eastAsia="仿宋_GB2312"/>
          <w:b w:val="0"/>
          <w:i w:val="0"/>
          <w:caps w:val="0"/>
          <w:smallCaps w:val="0"/>
          <w:color w:val="auto"/>
          <w:spacing w:val="0"/>
          <w:w w:val="100"/>
          <w:sz w:val="32"/>
          <w:szCs w:val="32"/>
          <w:highlight w:val="none"/>
          <w:u w:val="none"/>
        </w:rPr>
        <w:t>3</w:t>
      </w:r>
      <w:r>
        <w:rPr>
          <w:rFonts w:hint="eastAsia" w:eastAsia="仿宋_GB2312"/>
          <w:b w:val="0"/>
          <w:i w:val="0"/>
          <w:caps w:val="0"/>
          <w:smallCaps w:val="0"/>
          <w:color w:val="auto"/>
          <w:spacing w:val="0"/>
          <w:w w:val="100"/>
          <w:sz w:val="32"/>
          <w:szCs w:val="32"/>
          <w:highlight w:val="none"/>
          <w:u w:val="none"/>
          <w:lang w:val="en-US" w:eastAsia="zh-CN"/>
        </w:rPr>
        <w:t>5</w:t>
      </w:r>
      <w:r>
        <w:rPr>
          <w:rFonts w:hint="eastAsia" w:eastAsia="仿宋_GB2312"/>
          <w:b w:val="0"/>
          <w:i w:val="0"/>
          <w:caps w:val="0"/>
          <w:smallCaps w:val="0"/>
          <w:color w:val="auto"/>
          <w:spacing w:val="0"/>
          <w:w w:val="100"/>
          <w:sz w:val="32"/>
          <w:szCs w:val="32"/>
          <w:highlight w:val="none"/>
          <w:u w:val="none"/>
        </w:rPr>
        <w:t>万人。</w:t>
      </w:r>
    </w:p>
    <w:p>
      <w:pPr>
        <w:snapToGrid w:val="0"/>
        <w:spacing w:before="0" w:beforeAutospacing="0" w:after="0" w:afterAutospacing="0" w:line="560" w:lineRule="exact"/>
        <w:ind w:firstLine="640" w:firstLineChars="200"/>
        <w:jc w:val="both"/>
        <w:textAlignment w:val="baseline"/>
        <w:rPr>
          <w:rFonts w:ascii="仿宋_GB2312" w:eastAsia="仿宋_GB2312" w:cs="仿宋_GB2312"/>
          <w:b w:val="0"/>
          <w:i w:val="0"/>
          <w:caps w:val="0"/>
          <w:smallCaps w:val="0"/>
          <w:spacing w:val="0"/>
          <w:w w:val="100"/>
          <w:sz w:val="32"/>
          <w:szCs w:val="32"/>
        </w:rPr>
      </w:pPr>
      <w:r>
        <w:rPr>
          <w:rFonts w:hint="eastAsia" w:ascii="楷体_GB2312" w:eastAsia="楷体_GB2312" w:cs="楷体_GB2312"/>
          <w:b w:val="0"/>
          <w:bCs/>
          <w:i w:val="0"/>
          <w:caps w:val="0"/>
          <w:smallCaps w:val="0"/>
          <w:spacing w:val="0"/>
          <w:w w:val="100"/>
          <w:sz w:val="32"/>
          <w:szCs w:val="32"/>
        </w:rPr>
        <w:t>——促进新就业形态从业人员参保。</w:t>
      </w:r>
      <w:r>
        <w:rPr>
          <w:rFonts w:hint="eastAsia" w:ascii="仿宋_GB2312" w:eastAsia="仿宋_GB2312" w:cs="仿宋_GB2312"/>
          <w:b w:val="0"/>
          <w:i w:val="0"/>
          <w:caps w:val="0"/>
          <w:smallCaps w:val="0"/>
          <w:color w:val="auto"/>
          <w:spacing w:val="0"/>
          <w:w w:val="100"/>
          <w:sz w:val="32"/>
          <w:szCs w:val="32"/>
          <w:highlight w:val="none"/>
          <w:u w:val="none"/>
        </w:rPr>
        <w:t>推动</w:t>
      </w:r>
      <w:r>
        <w:rPr>
          <w:rFonts w:ascii="仿宋_GB2312" w:eastAsia="仿宋_GB2312" w:cs="仿宋_GB2312"/>
          <w:b w:val="0"/>
          <w:i w:val="0"/>
          <w:caps w:val="0"/>
          <w:smallCaps w:val="0"/>
          <w:color w:val="auto"/>
          <w:spacing w:val="0"/>
          <w:w w:val="100"/>
          <w:sz w:val="32"/>
          <w:szCs w:val="32"/>
          <w:highlight w:val="none"/>
          <w:u w:val="none"/>
        </w:rPr>
        <w:t>社会保险</w:t>
      </w:r>
      <w:r>
        <w:rPr>
          <w:rFonts w:hint="eastAsia" w:ascii="仿宋_GB2312" w:eastAsia="仿宋_GB2312" w:cs="仿宋_GB2312"/>
          <w:b w:val="0"/>
          <w:i w:val="0"/>
          <w:caps w:val="0"/>
          <w:smallCaps w:val="0"/>
          <w:color w:val="auto"/>
          <w:spacing w:val="0"/>
          <w:w w:val="100"/>
          <w:sz w:val="32"/>
          <w:szCs w:val="32"/>
          <w:highlight w:val="none"/>
          <w:u w:val="none"/>
        </w:rPr>
        <w:t>提</w:t>
      </w:r>
      <w:r>
        <w:rPr>
          <w:rFonts w:hint="eastAsia" w:ascii="仿宋_GB2312" w:eastAsia="仿宋_GB2312" w:cs="仿宋_GB2312"/>
          <w:b w:val="0"/>
          <w:i w:val="0"/>
          <w:caps w:val="0"/>
          <w:smallCaps w:val="0"/>
          <w:spacing w:val="0"/>
          <w:w w:val="100"/>
          <w:sz w:val="32"/>
          <w:szCs w:val="32"/>
          <w:highlight w:val="none"/>
        </w:rPr>
        <w:t>质</w:t>
      </w:r>
      <w:r>
        <w:rPr>
          <w:rFonts w:hint="eastAsia" w:ascii="仿宋_GB2312" w:eastAsia="仿宋_GB2312" w:cs="仿宋_GB2312"/>
          <w:b w:val="0"/>
          <w:i w:val="0"/>
          <w:caps w:val="0"/>
          <w:smallCaps w:val="0"/>
          <w:spacing w:val="0"/>
          <w:w w:val="100"/>
          <w:sz w:val="32"/>
          <w:szCs w:val="32"/>
        </w:rPr>
        <w:t>扩面，以基本养老保险为重点,扩大新业态从业、灵活就业、农业转移人口等群体参保覆盖面,进一步完善保障机制、优化保障服务。组织未参加职工基本养老保险的灵活就业人员，按规定参加城乡居民基本养老保险，做到应保尽保。</w:t>
      </w:r>
      <w:r>
        <w:rPr>
          <w:rFonts w:hint="eastAsia" w:ascii="仿宋_GB2312" w:eastAsia="仿宋_GB2312" w:cs="仿宋_GB2312"/>
          <w:b w:val="0"/>
          <w:i w:val="0"/>
          <w:caps w:val="0"/>
          <w:smallCaps w:val="0"/>
          <w:color w:val="auto"/>
          <w:spacing w:val="0"/>
          <w:w w:val="100"/>
          <w:sz w:val="32"/>
          <w:szCs w:val="32"/>
          <w:highlight w:val="none"/>
          <w:u w:val="none"/>
        </w:rPr>
        <w:t>指导企业引导和支持不完全符合确立劳动关系情形的新就业形态劳动者根据自身情况参加相应的社会保险。</w:t>
      </w:r>
      <w:r>
        <w:rPr>
          <w:rFonts w:hint="eastAsia" w:ascii="仿宋_GB2312" w:hAnsi="Times New Roman" w:eastAsia="仿宋_GB2312" w:cs="仿宋_GB2312"/>
          <w:b w:val="0"/>
          <w:i w:val="0"/>
          <w:caps w:val="0"/>
          <w:smallCaps w:val="0"/>
          <w:spacing w:val="0"/>
          <w:w w:val="100"/>
          <w:sz w:val="32"/>
          <w:szCs w:val="32"/>
        </w:rPr>
        <w:t>探</w:t>
      </w:r>
      <w:r>
        <w:rPr>
          <w:rFonts w:hint="eastAsia" w:ascii="仿宋_GB2312" w:eastAsia="仿宋_GB2312" w:cs="仿宋_GB2312"/>
          <w:b w:val="0"/>
          <w:i w:val="0"/>
          <w:caps w:val="0"/>
          <w:smallCaps w:val="0"/>
          <w:spacing w:val="0"/>
          <w:w w:val="100"/>
          <w:sz w:val="32"/>
          <w:szCs w:val="32"/>
        </w:rPr>
        <w:t>索适合新就业形态的社会保险经办服务模式，在参保缴费、权益查询、待遇领取和结算等方面提供更加便捷的服务，做好社会保险关系转移接续工作，提高社会保险经办服务水平，更好保障参保人员公平享受社会保险待遇。</w:t>
      </w:r>
    </w:p>
    <w:p>
      <w:pPr>
        <w:pStyle w:val="4"/>
        <w:snapToGrid w:val="0"/>
        <w:jc w:val="center"/>
        <w:textAlignment w:val="baseline"/>
      </w:pPr>
      <w:bookmarkStart w:id="372" w:name="_Toc23108"/>
      <w:r>
        <w:rPr>
          <w:rFonts w:hint="eastAsia"/>
        </w:rPr>
        <w:t>第三节 提升社保经办服务水平</w:t>
      </w:r>
      <w:bookmarkEnd w:id="372"/>
    </w:p>
    <w:p>
      <w:pPr>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加强社会保险经办队伍服务能力建设，提升人员队伍整体素质，创新管理模式，建立专业化社会保险经办队伍。加快推动社保经办数字化转型，提升社保数据分析应用能力。健全覆盖城乡的社会保险服务体系，着力解决乡镇、村（社区）级服务机构服务能力不足问题。完善村（社区）级服务网点及互联网应用，推行社会保险信息网络向村级延伸。加强个人信息保护，保障数据安全。推进“人社服务快办行动”，优化各项服务事项，加大社会保障卡“一卡通”服务线上线下应用。持续推进“清事项、减材料、压时限”工作，着力推进“综合柜员制”，进一步减环节、减材料、减时限，优手段、优流程、优服务，拓展“贵州社会保险”手</w:t>
      </w:r>
      <w:r>
        <w:rPr>
          <w:rFonts w:hint="eastAsia" w:hAnsi="仿宋_GB2312" w:eastAsia="仿宋_GB2312"/>
          <w:sz w:val="32"/>
          <w:szCs w:val="32"/>
        </w:rPr>
        <w:t>机</w:t>
      </w:r>
      <w:r>
        <w:rPr>
          <w:rFonts w:eastAsia="仿宋_GB2312"/>
          <w:sz w:val="32"/>
          <w:szCs w:val="32"/>
        </w:rPr>
        <w:t>APP</w:t>
      </w:r>
      <w:r>
        <w:rPr>
          <w:rFonts w:hint="eastAsia" w:hAnsi="仿宋_GB2312" w:eastAsia="仿宋_GB2312"/>
          <w:sz w:val="32"/>
          <w:szCs w:val="32"/>
        </w:rPr>
        <w:t>、</w:t>
      </w:r>
      <w:r>
        <w:rPr>
          <w:rFonts w:hint="eastAsia" w:ascii="仿宋_GB2312" w:hAnsi="仿宋_GB2312" w:eastAsia="仿宋_GB2312" w:cs="仿宋_GB2312"/>
          <w:sz w:val="32"/>
          <w:szCs w:val="32"/>
        </w:rPr>
        <w:t>云上贵州多彩宝、微信公众号等信息化便民服务平台，实现更多社会保险经办业务由“最多跑一次”到“一次都不用跑”的提质转变。深入开展社保系统“大练兵大比武”活动，建立“日日学、周周练、月月比”活动常态化学习机制。在全州范围内深度挖掘一批立得住、站的久、传得开、叫得响的“社保服务标兵”，开展优质服务窗口评比表彰，组织标兵选手巡回宣讲，发挥典型示范引领作用，提振人社队伍精气神，着力营造学先进、赶先进、争当先进的良好氛围。</w:t>
      </w:r>
    </w:p>
    <w:p>
      <w:pPr>
        <w:pStyle w:val="4"/>
        <w:snapToGrid w:val="0"/>
        <w:jc w:val="center"/>
        <w:textAlignment w:val="baseline"/>
      </w:pPr>
      <w:bookmarkStart w:id="373" w:name="_Toc17721"/>
      <w:r>
        <w:rPr>
          <w:rFonts w:hint="eastAsia"/>
        </w:rPr>
        <w:t>第四节 加强社会保险基金监管</w:t>
      </w:r>
      <w:bookmarkEnd w:id="373"/>
    </w:p>
    <w:p>
      <w:pPr>
        <w:snapToGrid w:val="0"/>
        <w:spacing w:line="360" w:lineRule="auto"/>
        <w:ind w:firstLine="640" w:firstLineChars="200"/>
        <w:textAlignment w:val="baseline"/>
        <w:rPr>
          <w:rFonts w:eastAsia="仿宋_GB2312"/>
          <w:bCs/>
          <w:sz w:val="32"/>
          <w:szCs w:val="32"/>
        </w:rPr>
      </w:pPr>
      <w:r>
        <w:rPr>
          <w:rFonts w:hint="eastAsia" w:ascii="仿宋_GB2312" w:hAnsi="仿宋_GB2312" w:eastAsia="仿宋_GB2312" w:cs="仿宋_GB2312"/>
          <w:sz w:val="32"/>
          <w:szCs w:val="32"/>
        </w:rPr>
        <w:t>加</w:t>
      </w:r>
      <w:r>
        <w:rPr>
          <w:rFonts w:hint="eastAsia" w:ascii="仿宋_GB2312" w:hAnsi="仿宋_GB2312" w:eastAsia="仿宋_GB2312" w:cs="仿宋_GB2312"/>
          <w:spacing w:val="-6"/>
          <w:sz w:val="32"/>
          <w:szCs w:val="32"/>
        </w:rPr>
        <w:t>强社会保险基金现场监督检查、社会保险经办机构内部控制监管，</w:t>
      </w:r>
      <w:r>
        <w:rPr>
          <w:rFonts w:hint="eastAsia" w:eastAsia="仿宋_GB2312"/>
          <w:bCs/>
          <w:spacing w:val="-6"/>
          <w:sz w:val="32"/>
          <w:szCs w:val="32"/>
        </w:rPr>
        <w:t>形成政策、经办、信息、监督“四位一体”的风险防控体系</w:t>
      </w:r>
      <w:r>
        <w:rPr>
          <w:rFonts w:hint="eastAsia" w:ascii="仿宋_GB2312" w:hAnsi="仿宋_GB2312" w:eastAsia="仿宋_GB2312" w:cs="仿宋_GB2312"/>
          <w:spacing w:val="-6"/>
          <w:sz w:val="32"/>
          <w:szCs w:val="32"/>
        </w:rPr>
        <w:t>。</w:t>
      </w:r>
      <w:r>
        <w:rPr>
          <w:rFonts w:hint="eastAsia" w:eastAsia="仿宋_GB2312"/>
          <w:bCs/>
          <w:spacing w:val="-6"/>
          <w:sz w:val="32"/>
          <w:szCs w:val="32"/>
        </w:rPr>
        <w:t>建立常态化非现场监督机制，</w:t>
      </w:r>
      <w:r>
        <w:rPr>
          <w:rFonts w:hint="eastAsia" w:ascii="仿宋_GB2312" w:hAnsi="仿宋_GB2312" w:eastAsia="仿宋_GB2312" w:cs="仿宋_GB2312"/>
          <w:spacing w:val="-6"/>
          <w:sz w:val="32"/>
          <w:szCs w:val="32"/>
        </w:rPr>
        <w:t>运用大数据强化社会保险基金监督，切实维护基金安全。健全完善联席会议制度，联防联控，严厉打击各类社会保险欺诈犯罪行为。以实现保值增值为目标，稳步推进养老保险基金投资运营和优惠利率存款。</w:t>
      </w:r>
      <w:r>
        <w:rPr>
          <w:rFonts w:hint="eastAsia" w:eastAsia="仿宋_GB2312"/>
          <w:bCs/>
          <w:spacing w:val="-6"/>
          <w:sz w:val="32"/>
          <w:szCs w:val="32"/>
        </w:rPr>
        <w:t>加强社会监督与行政监督的有机衔接，鼓励社会力量参与基金监督。</w:t>
      </w:r>
    </w:p>
    <w:p>
      <w:pPr>
        <w:pStyle w:val="4"/>
        <w:snapToGrid w:val="0"/>
        <w:jc w:val="center"/>
        <w:textAlignment w:val="baseline"/>
      </w:pPr>
      <w:bookmarkStart w:id="374" w:name="_Toc24685"/>
      <w:r>
        <w:rPr>
          <w:rFonts w:hint="eastAsia"/>
        </w:rPr>
        <w:t xml:space="preserve">第五节 </w:t>
      </w:r>
      <w:r>
        <w:rPr>
          <w:rFonts w:hint="eastAsia" w:ascii="Arial" w:hAnsi="Arial"/>
        </w:rPr>
        <w:t>实施社会保险提升工程</w:t>
      </w:r>
      <w:bookmarkEnd w:id="374"/>
    </w:p>
    <w:p>
      <w:pPr>
        <w:pStyle w:val="23"/>
        <w:snapToGrid w:val="0"/>
        <w:spacing w:before="0" w:after="0" w:line="360" w:lineRule="auto"/>
        <w:ind w:firstLine="640" w:firstLineChars="200"/>
        <w:jc w:val="both"/>
        <w:textAlignment w:val="baseline"/>
        <w:rPr>
          <w:rFonts w:ascii="仿宋_GB2312" w:hAnsi="仿宋_GB2312" w:eastAsia="仿宋_GB2312" w:cs="仿宋_GB2312"/>
          <w:b w:val="0"/>
        </w:rPr>
      </w:pPr>
      <w:bookmarkStart w:id="375" w:name="_Toc8917"/>
      <w:bookmarkStart w:id="376" w:name="_Toc12364"/>
      <w:bookmarkStart w:id="377" w:name="_Toc10407"/>
      <w:bookmarkStart w:id="378" w:name="_Toc8929"/>
      <w:bookmarkStart w:id="379" w:name="_Toc90584112"/>
      <w:bookmarkStart w:id="380" w:name="_Toc3193"/>
      <w:bookmarkStart w:id="381" w:name="_Toc11402"/>
      <w:bookmarkStart w:id="382" w:name="_Toc755"/>
      <w:r>
        <w:rPr>
          <w:rFonts w:hint="eastAsia" w:ascii="仿宋_GB2312" w:hAnsi="仿宋_GB2312" w:eastAsia="仿宋_GB2312" w:cs="仿宋_GB2312"/>
          <w:b w:val="0"/>
        </w:rPr>
        <w:t>大力实施社会保险提升工程，不断提升社保经办服务水平，强化窗口单位作风建设、优化公共服务、创新管理模式，加快社保数据质量提升，深化大数据共享应用，持续巩固“全民参保计划”实施成果，稳定现有存量，做大做优增量，全力确保社会保险基金收入稳定增长，进一步扩大社会保险覆盖面。</w:t>
      </w:r>
      <w:bookmarkEnd w:id="375"/>
      <w:bookmarkEnd w:id="376"/>
      <w:bookmarkEnd w:id="377"/>
      <w:bookmarkEnd w:id="378"/>
      <w:bookmarkEnd w:id="379"/>
      <w:bookmarkEnd w:id="380"/>
      <w:bookmarkEnd w:id="381"/>
      <w:bookmarkEnd w:id="382"/>
    </w:p>
    <w:p>
      <w:pPr>
        <w:pStyle w:val="23"/>
        <w:snapToGrid w:val="0"/>
        <w:textAlignment w:val="baseline"/>
        <w:rPr>
          <w:rFonts w:ascii="黑体" w:hAnsi="黑体" w:eastAsia="黑体"/>
          <w:b w:val="0"/>
          <w:kern w:val="0"/>
          <w:sz w:val="28"/>
          <w:szCs w:val="28"/>
        </w:rPr>
      </w:pPr>
      <w:bookmarkStart w:id="383" w:name="_Toc90584113"/>
      <w:bookmarkStart w:id="384" w:name="_Toc3184"/>
      <w:bookmarkStart w:id="385" w:name="_Toc11373"/>
      <w:bookmarkStart w:id="386" w:name="_Toc30770"/>
      <w:bookmarkStart w:id="387" w:name="_Toc31532"/>
      <w:bookmarkStart w:id="388" w:name="_Toc5825"/>
      <w:bookmarkStart w:id="389" w:name="_Toc32063"/>
      <w:bookmarkStart w:id="390" w:name="_Toc27625"/>
      <w:r>
        <w:rPr>
          <w:rFonts w:hint="eastAsia" w:ascii="黑体" w:hAnsi="黑体" w:eastAsia="黑体"/>
          <w:b w:val="0"/>
          <w:kern w:val="0"/>
          <w:sz w:val="28"/>
          <w:szCs w:val="28"/>
        </w:rPr>
        <w:t>专栏1</w:t>
      </w:r>
      <w:r>
        <w:rPr>
          <w:rFonts w:hint="eastAsia" w:ascii="黑体" w:hAnsi="黑体" w:eastAsia="黑体"/>
          <w:b w:val="0"/>
          <w:kern w:val="0"/>
          <w:sz w:val="28"/>
          <w:szCs w:val="28"/>
          <w:lang w:val="en-US" w:eastAsia="zh-CN"/>
        </w:rPr>
        <w:t>3</w:t>
      </w:r>
      <w:r>
        <w:rPr>
          <w:rFonts w:hint="eastAsia" w:ascii="黑体" w:hAnsi="黑体" w:eastAsia="黑体"/>
          <w:b w:val="0"/>
          <w:kern w:val="0"/>
          <w:sz w:val="28"/>
          <w:szCs w:val="28"/>
        </w:rPr>
        <w:t>社会保险提升工程</w:t>
      </w:r>
      <w:bookmarkEnd w:id="383"/>
      <w:bookmarkEnd w:id="384"/>
      <w:bookmarkEnd w:id="385"/>
      <w:bookmarkEnd w:id="386"/>
      <w:bookmarkEnd w:id="387"/>
      <w:bookmarkEnd w:id="388"/>
      <w:bookmarkEnd w:id="389"/>
      <w:bookmarkEnd w:id="390"/>
    </w:p>
    <w:tbl>
      <w:tblPr>
        <w:tblStyle w:val="2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7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139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名称</w:t>
            </w:r>
          </w:p>
        </w:tc>
        <w:tc>
          <w:tcPr>
            <w:tcW w:w="769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社会保险从业人员素质提升工 程</w:t>
            </w:r>
          </w:p>
        </w:tc>
        <w:tc>
          <w:tcPr>
            <w:tcW w:w="769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实施社会保险从业人员能力素质提升计划，建立社会保险经办服务窗口工作人员上岗培训制度，切实提高全州社会保险经办队伍的整体素质。培养社会保险经办领域的财务管理、信息技术、统计分析、标准化建设、稽核管理等专业人才、岗位能手和服务标兵。积极争取党委政府加大对基层社会保险经办服务投入，在机构编制、政府购买服务等方面给予大力支持，提升社会保险管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社会保险服务标准化建设工程</w:t>
            </w:r>
          </w:p>
        </w:tc>
        <w:tc>
          <w:tcPr>
            <w:tcW w:w="769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按照“放管服”要求，建立以强化窗口单位作风建设、优化公共服务等人社领域为重点的工作，全力推进社会保险标准化工作的贯彻实施。按照“卫生</w:t>
            </w:r>
            <w:r>
              <w:rPr>
                <w:rFonts w:hint="eastAsia" w:ascii="仿宋_GB2312" w:hAnsi="宋体" w:eastAsia="仿宋_GB2312" w:cs="仿宋_GB2312"/>
                <w:bCs/>
                <w:sz w:val="24"/>
                <w:szCs w:val="24"/>
                <w:lang w:val="en-US" w:eastAsia="zh-CN"/>
              </w:rPr>
              <w:t>标准</w:t>
            </w:r>
            <w:r>
              <w:rPr>
                <w:rFonts w:hint="eastAsia" w:ascii="仿宋_GB2312" w:hAnsi="宋体" w:eastAsia="仿宋_GB2312" w:cs="仿宋_GB2312"/>
                <w:bCs/>
                <w:sz w:val="24"/>
                <w:szCs w:val="24"/>
              </w:rPr>
              <w:t>、工作着装、文明用语、岗位标识、办事流程、经办时限、工作纪律、组织调度”八统一要求，打造标准化工程，建立标准应用情况、绩效考核的综合评价机制。有效提升窗口工作人员的整体形象，实现社会保险窗口“形象提升、服务提质、口碑提高”的良好社会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社会保险服务建设工程</w:t>
            </w:r>
          </w:p>
        </w:tc>
        <w:tc>
          <w:tcPr>
            <w:tcW w:w="769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highlight w:val="none"/>
              </w:rPr>
              <w:t>结合社会保障卡与金融机构网络平台的融合应用，以村级服务网点（金融机构代办点）和互联网应用为依托，推行社会保险信息网络向</w:t>
            </w:r>
            <w:r>
              <w:rPr>
                <w:rFonts w:hint="eastAsia" w:ascii="仿宋_GB2312" w:hAnsi="宋体" w:eastAsia="仿宋_GB2312" w:cs="仿宋_GB2312"/>
                <w:bCs/>
                <w:sz w:val="24"/>
                <w:szCs w:val="24"/>
              </w:rPr>
              <w:t>村级（社区）延伸，提供参保登记、待遇领取、资格认证等服务。通过政府购买服务方式，充实村（社区）级经办服务力量。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社会保险参保扩面提质工程</w:t>
            </w:r>
          </w:p>
        </w:tc>
        <w:tc>
          <w:tcPr>
            <w:tcW w:w="769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加强参保数据的共享比对、动态管理和分类施策。持续加大社会保险政策宣传，引导中小微企业积极参保，落实困难群体参加城乡居民养老保险兜底保险政策，探索推进新业态从业人员的工伤保险保障方式，鼓励积极参保，持续参保，基本实现法定人员全覆盖。完善社会统筹与个人账户相结合的职工基本养老保险制度和个人账户制度。规范基本养老保险缴费政策，完善缴费激励约束机制。稳步推进机关事业单位养老保险制度改革。进一步提升失业保险统筹层次，推进失业保险省级统筹。完善社会保险转移接续政策，建立更加便捷的社会保险转移接续机制。实施职业年金制度，扩大企业年金实施覆盖范围。鼓励发展个人养老金制度，促进商业养老保险与社会保险、补充保险相衔接，形成多层次、多支柱的保障体系。</w:t>
            </w:r>
          </w:p>
        </w:tc>
      </w:tr>
    </w:tbl>
    <w:p>
      <w:pPr>
        <w:snapToGrid w:val="0"/>
        <w:textAlignment w:val="baseline"/>
        <w:rPr>
          <w:rFonts w:eastAsia="方正小标宋简体"/>
          <w:sz w:val="20"/>
        </w:rPr>
      </w:pPr>
    </w:p>
    <w:p>
      <w:pPr>
        <w:pStyle w:val="3"/>
        <w:snapToGrid w:val="0"/>
        <w:spacing w:before="0" w:after="0" w:line="360" w:lineRule="auto"/>
        <w:jc w:val="center"/>
        <w:textAlignment w:val="baseline"/>
        <w:rPr>
          <w:rFonts w:hint="eastAsia" w:ascii="方正小标宋简体" w:eastAsia="方正小标宋简体"/>
          <w:b w:val="0"/>
        </w:rPr>
      </w:pPr>
      <w:bookmarkStart w:id="391" w:name="_Toc20031"/>
      <w:r>
        <w:rPr>
          <w:rFonts w:hint="eastAsia" w:ascii="方正小标宋简体" w:eastAsia="方正小标宋简体"/>
          <w:b w:val="0"/>
        </w:rPr>
        <w:t>第六章 积极构建和谐劳动关系</w:t>
      </w:r>
      <w:bookmarkEnd w:id="391"/>
    </w:p>
    <w:p>
      <w:pPr>
        <w:widowControl w:val="0"/>
        <w:snapToGrid w:val="0"/>
        <w:spacing w:line="360" w:lineRule="auto"/>
        <w:ind w:firstLine="640" w:firstLineChars="200"/>
        <w:textAlignment w:val="baseline"/>
        <w:rPr>
          <w:rFonts w:eastAsia="仿宋_GB2312"/>
          <w:sz w:val="32"/>
          <w:szCs w:val="32"/>
        </w:rPr>
      </w:pPr>
      <w:r>
        <w:rPr>
          <w:rFonts w:hint="eastAsia" w:ascii="仿宋_GB2312" w:hAnsi="仿宋_GB2312" w:eastAsia="仿宋_GB2312" w:cs="仿宋_GB2312"/>
          <w:sz w:val="32"/>
          <w:szCs w:val="32"/>
        </w:rPr>
        <w:t>开展重点行业突出用工问题治理，强化劳资纠纷隐患排查风险预警，将矛盾隐患化解在苗头和萌芽。建立劳动关系形势动态监测、分析研判和应急联动处置机制，及时妥善处置群体性事件。健全调解仲裁与劳动保障监察联动机制，推动劳动纠纷实现快调快处，有效防范劳动关系领域重大风险。</w:t>
      </w:r>
      <w:r>
        <w:rPr>
          <w:rFonts w:hint="eastAsia" w:eastAsia="仿宋_GB2312"/>
          <w:sz w:val="32"/>
          <w:szCs w:val="32"/>
        </w:rPr>
        <w:t>坚持促进企业发展与维护职工权益并重，健全劳动关系协调机制，强化矛盾纠纷的源头预防和协调化解机制，顺应新业态、小微企业等劳动关系领域发展的新情况，加大对劳动保障违法行为的查处力度，及时公正解决劳动人事争议，切实维护双方的合法权益，有力促进劳动关系和谐稳定。</w:t>
      </w:r>
    </w:p>
    <w:p>
      <w:pPr>
        <w:pStyle w:val="4"/>
        <w:snapToGrid w:val="0"/>
        <w:jc w:val="center"/>
        <w:textAlignment w:val="baseline"/>
      </w:pPr>
      <w:bookmarkStart w:id="392" w:name="_Toc20575"/>
      <w:r>
        <w:rPr>
          <w:rFonts w:hint="eastAsia"/>
        </w:rPr>
        <w:t>第一节 健全劳动关系协调机制</w:t>
      </w:r>
      <w:bookmarkEnd w:id="392"/>
    </w:p>
    <w:p>
      <w:pPr>
        <w:widowControl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加强协调劳动关系三方机制建设，探索建立党委领导、政府负责、民主协商、社会协同、公众参与、法治保障、科技支撑的劳资纠纷治理体系，及时协商解决劳动关系重大问题，深入开展和谐劳动关系创建活动。全面实行劳动合同制度，加强劳动用工备案，提高劳动合同签订率和履行质量。组织开展劳动合同签订专项行动，加强对企业和职工的指导服务，推广实施适合小企业和农民工特点的简易劳动合同，推动企业和职工特别是小企业、建筑施工单位和农民工签订劳动合同。推行集体协商和集体合同制度，推动企业建立健全平等协商机制，积极稳妥推进区域性、行业性集体合同。实施劳动关系“和谐行动”能力提升三年行动计划，打造一批高质量的劳动关系协调员、协调劳动关系社会组织、劳动人事争议调解组织，培育一批劳动关系和谐企业。加强劳务派遣监督管理，严格实施劳务派遣行政许可，规范劳务派遣行为。依法规范企业规模裁减人员行为，做好劳动用工政策咨询和指导服务。</w:t>
      </w:r>
    </w:p>
    <w:tbl>
      <w:tblPr>
        <w:tblStyle w:val="2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47" w:type="dxa"/>
            <w:gridSpan w:val="2"/>
            <w:tcBorders>
              <w:top w:val="nil"/>
              <w:left w:val="nil"/>
              <w:bottom w:val="single" w:color="auto" w:sz="4" w:space="0"/>
              <w:right w:val="nil"/>
            </w:tcBorders>
            <w:vAlign w:val="center"/>
          </w:tcPr>
          <w:p>
            <w:pPr>
              <w:pStyle w:val="23"/>
              <w:snapToGrid w:val="0"/>
              <w:spacing w:line="360" w:lineRule="auto"/>
              <w:textAlignment w:val="baseline"/>
              <w:rPr>
                <w:rFonts w:ascii="黑体" w:hAnsi="黑体" w:eastAsia="黑体" w:cs="仿宋_GB2312"/>
                <w:b w:val="0"/>
                <w:bCs w:val="0"/>
                <w:sz w:val="24"/>
                <w:szCs w:val="24"/>
              </w:rPr>
            </w:pPr>
            <w:bookmarkStart w:id="393" w:name="_Toc25939"/>
            <w:bookmarkStart w:id="394" w:name="_Toc28475"/>
            <w:bookmarkStart w:id="395" w:name="_Toc7235"/>
            <w:bookmarkStart w:id="396" w:name="_Toc302"/>
            <w:bookmarkStart w:id="397" w:name="_Toc25525"/>
            <w:bookmarkStart w:id="398" w:name="_Toc8939"/>
            <w:bookmarkStart w:id="399" w:name="_Toc90584116"/>
            <w:bookmarkStart w:id="400" w:name="_Toc21671"/>
            <w:r>
              <w:rPr>
                <w:rFonts w:hint="eastAsia" w:ascii="黑体" w:hAnsi="黑体" w:eastAsia="黑体"/>
                <w:b w:val="0"/>
                <w:kern w:val="0"/>
                <w:sz w:val="28"/>
                <w:szCs w:val="28"/>
              </w:rPr>
              <w:t>专栏</w:t>
            </w:r>
            <w:r>
              <w:rPr>
                <w:rFonts w:ascii="Times New Roman" w:hAnsi="Times New Roman" w:eastAsia="黑体" w:cs="Times New Roman"/>
                <w:b w:val="0"/>
                <w:kern w:val="0"/>
                <w:sz w:val="28"/>
                <w:szCs w:val="28"/>
              </w:rPr>
              <w:t>1</w:t>
            </w:r>
            <w:r>
              <w:rPr>
                <w:rFonts w:hint="eastAsia" w:ascii="Times New Roman" w:hAnsi="Times New Roman" w:eastAsia="黑体" w:cs="Times New Roman"/>
                <w:b w:val="0"/>
                <w:kern w:val="0"/>
                <w:sz w:val="28"/>
                <w:szCs w:val="28"/>
                <w:lang w:val="en-US" w:eastAsia="zh-CN"/>
              </w:rPr>
              <w:t>4</w:t>
            </w:r>
            <w:r>
              <w:rPr>
                <w:rFonts w:hint="eastAsia" w:ascii="黑体" w:hAnsi="黑体" w:eastAsia="黑体"/>
                <w:b w:val="0"/>
                <w:kern w:val="0"/>
                <w:sz w:val="28"/>
                <w:szCs w:val="28"/>
              </w:rPr>
              <w:t xml:space="preserve">  劳动关系</w:t>
            </w:r>
            <w:r>
              <w:rPr>
                <w:rFonts w:ascii="黑体" w:hAnsi="黑体" w:eastAsia="黑体"/>
                <w:b w:val="0"/>
                <w:kern w:val="0"/>
                <w:sz w:val="28"/>
                <w:szCs w:val="28"/>
              </w:rPr>
              <w:t>“</w:t>
            </w:r>
            <w:r>
              <w:rPr>
                <w:rFonts w:hint="eastAsia" w:ascii="黑体" w:hAnsi="黑体" w:eastAsia="黑体"/>
                <w:b w:val="0"/>
                <w:kern w:val="0"/>
                <w:sz w:val="28"/>
                <w:szCs w:val="28"/>
              </w:rPr>
              <w:t>和谐同行</w:t>
            </w:r>
            <w:r>
              <w:rPr>
                <w:rFonts w:ascii="黑体" w:hAnsi="黑体" w:eastAsia="黑体"/>
                <w:b w:val="0"/>
                <w:kern w:val="0"/>
                <w:sz w:val="28"/>
                <w:szCs w:val="28"/>
              </w:rPr>
              <w:t>”</w:t>
            </w:r>
            <w:r>
              <w:rPr>
                <w:rFonts w:hint="eastAsia" w:ascii="黑体" w:hAnsi="黑体" w:eastAsia="黑体"/>
                <w:b w:val="0"/>
                <w:kern w:val="0"/>
                <w:sz w:val="28"/>
                <w:szCs w:val="28"/>
              </w:rPr>
              <w:t>能力提升行动</w:t>
            </w:r>
            <w:bookmarkEnd w:id="393"/>
            <w:bookmarkEnd w:id="394"/>
            <w:bookmarkEnd w:id="395"/>
            <w:bookmarkEnd w:id="396"/>
            <w:bookmarkEnd w:id="397"/>
            <w:bookmarkEnd w:id="398"/>
            <w:bookmarkEnd w:id="399"/>
            <w:bookmarkEnd w:id="4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26" w:type="dxa"/>
            <w:tcBorders>
              <w:top w:val="single" w:color="auto" w:sz="4" w:space="0"/>
              <w:left w:val="single" w:color="auto" w:sz="4" w:space="0"/>
              <w:bottom w:val="single" w:color="auto" w:sz="4" w:space="0"/>
              <w:right w:val="single" w:color="000000" w:sz="4" w:space="0"/>
            </w:tcBorders>
            <w:vAlign w:val="center"/>
          </w:tcPr>
          <w:p>
            <w:pPr>
              <w:widowControl w:val="0"/>
              <w:snapToGrid w:val="0"/>
              <w:spacing w:line="360" w:lineRule="exact"/>
              <w:ind w:firstLine="480" w:firstLineChars="200"/>
              <w:jc w:val="both"/>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名称</w:t>
            </w:r>
          </w:p>
        </w:tc>
        <w:tc>
          <w:tcPr>
            <w:tcW w:w="7421" w:type="dxa"/>
            <w:tcBorders>
              <w:top w:val="single" w:color="auto" w:sz="4" w:space="0"/>
              <w:left w:val="single" w:color="000000"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000000"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bookmarkStart w:id="401" w:name="_Toc90584117"/>
            <w:r>
              <w:rPr>
                <w:rFonts w:hint="eastAsia" w:ascii="仿宋_GB2312" w:hAnsi="宋体" w:eastAsia="仿宋_GB2312" w:cs="仿宋_GB2312"/>
                <w:bCs/>
                <w:sz w:val="24"/>
                <w:szCs w:val="24"/>
              </w:rPr>
              <w:t>和谐劳动关系</w:t>
            </w:r>
            <w:bookmarkEnd w:id="401"/>
            <w:bookmarkStart w:id="402" w:name="_Toc90584118"/>
            <w:r>
              <w:rPr>
                <w:rFonts w:hint="eastAsia" w:ascii="仿宋_GB2312" w:hAnsi="宋体" w:eastAsia="仿宋_GB2312" w:cs="仿宋_GB2312"/>
                <w:bCs/>
                <w:sz w:val="24"/>
                <w:szCs w:val="24"/>
              </w:rPr>
              <w:t>行动计划</w:t>
            </w:r>
            <w:bookmarkEnd w:id="402"/>
          </w:p>
        </w:tc>
        <w:tc>
          <w:tcPr>
            <w:tcW w:w="7421" w:type="dxa"/>
            <w:tcBorders>
              <w:top w:val="single" w:color="auto" w:sz="4" w:space="0"/>
              <w:left w:val="single" w:color="000000" w:sz="4" w:space="0"/>
              <w:bottom w:val="single" w:color="auto" w:sz="4" w:space="0"/>
              <w:right w:val="single" w:color="auto" w:sz="4" w:space="0"/>
            </w:tcBorders>
            <w:vAlign w:val="center"/>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3年内打造不少于30名省级金牌劳动关系协调员；3年内在全州选树1家省级金牌协调劳动关系社会组织，打造不少于3家金牌劳动人事争议调解组织，重点培育不少于12户和谐企业；主动为新注册企业提供用工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000000"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bookmarkStart w:id="403" w:name="_Toc90584119"/>
            <w:r>
              <w:rPr>
                <w:rFonts w:hint="eastAsia" w:ascii="仿宋_GB2312" w:hAnsi="宋体" w:eastAsia="仿宋_GB2312" w:cs="仿宋_GB2312"/>
                <w:bCs/>
                <w:sz w:val="24"/>
                <w:szCs w:val="24"/>
              </w:rPr>
              <w:t>重点企业用工</w:t>
            </w:r>
            <w:bookmarkEnd w:id="403"/>
            <w:bookmarkStart w:id="404" w:name="_Toc90584120"/>
            <w:r>
              <w:rPr>
                <w:rFonts w:hint="eastAsia" w:ascii="仿宋_GB2312" w:hAnsi="宋体" w:eastAsia="仿宋_GB2312" w:cs="仿宋_GB2312"/>
                <w:bCs/>
                <w:sz w:val="24"/>
                <w:szCs w:val="24"/>
              </w:rPr>
              <w:t>指导计划</w:t>
            </w:r>
            <w:bookmarkEnd w:id="404"/>
          </w:p>
        </w:tc>
        <w:tc>
          <w:tcPr>
            <w:tcW w:w="7421" w:type="dxa"/>
            <w:tcBorders>
              <w:top w:val="single" w:color="auto" w:sz="4" w:space="0"/>
              <w:left w:val="single" w:color="000000" w:sz="4" w:space="0"/>
              <w:bottom w:val="single" w:color="auto" w:sz="4" w:space="0"/>
              <w:right w:val="single" w:color="auto" w:sz="4" w:space="0"/>
            </w:tcBorders>
            <w:vAlign w:val="center"/>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建立完善对用工规模较大企业的用工指导服务机制，帮助企业提升用工管理水平。指导特殊困难企业稳定工作岗位，发挥集体协商重要作用，有效防范化解劳动关系矛盾风险，稳定劳动关系。</w:t>
            </w:r>
          </w:p>
        </w:tc>
      </w:tr>
    </w:tbl>
    <w:p>
      <w:pPr>
        <w:snapToGrid w:val="0"/>
        <w:textAlignment w:val="baseline"/>
        <w:rPr>
          <w:rFonts w:eastAsia="仿宋_GB2312"/>
          <w:sz w:val="20"/>
        </w:rPr>
      </w:pPr>
    </w:p>
    <w:p>
      <w:pPr>
        <w:pStyle w:val="4"/>
        <w:snapToGrid w:val="0"/>
        <w:jc w:val="center"/>
        <w:textAlignment w:val="baseline"/>
        <w:rPr>
          <w:rFonts w:hint="eastAsia"/>
        </w:rPr>
      </w:pPr>
      <w:bookmarkStart w:id="405" w:name="_Toc29123"/>
      <w:r>
        <w:rPr>
          <w:rFonts w:hint="eastAsia"/>
        </w:rPr>
        <w:t>第二节 完善劳动人事争议调解仲裁机制</w:t>
      </w:r>
      <w:bookmarkEnd w:id="405"/>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加强劳动人事争议预防调解，完善基层矛盾纠纷多元化解调处机制，加强乡镇（街道）劳动人事争议调解委员会、人力资源服务中心调解窗口等基层调解组织建设，推进企事业单位劳动人事争议调解委员会示范创建，指导用人单位完善构建和谐劳动关系协商机制，努力将矛盾纠纷就近就地化解，努力实现劳动纠纷多元化解机制全覆盖。加强调解仲裁机构队伍建设，充实一线专、兼职调解员、仲裁员力量，提升争议预防化解、案件处理能力。会同司法行政、工会、工商联、教育、卫生等部门，协同提升多元处理机制运行质效。加强劳动人事争议调解仲裁效能建设，充分发挥调解仲裁的准司法制度优势，积极推广使用“互联网+调解仲裁”服务平台，不断提高劳动人事争议调解仲裁工作的规范化、标准化、专业化、智能化水平，“十四五”期间，</w:t>
      </w:r>
      <w:r>
        <w:rPr>
          <w:rFonts w:hint="eastAsia" w:ascii="仿宋_GB2312" w:hAnsi="仿宋_GB2312" w:eastAsia="仿宋_GB2312" w:cs="仿宋_GB2312"/>
          <w:color w:val="auto"/>
          <w:sz w:val="32"/>
          <w:szCs w:val="32"/>
          <w:highlight w:val="none"/>
        </w:rPr>
        <w:t>每年全州调解成功率</w:t>
      </w:r>
      <w:r>
        <w:rPr>
          <w:rFonts w:hint="eastAsia" w:eastAsia="仿宋_GB2312"/>
          <w:color w:val="auto"/>
          <w:sz w:val="32"/>
          <w:szCs w:val="32"/>
          <w:highlight w:val="none"/>
        </w:rPr>
        <w:t>达</w:t>
      </w:r>
      <w:r>
        <w:rPr>
          <w:rFonts w:eastAsia="仿宋_GB2312"/>
          <w:color w:val="auto"/>
          <w:sz w:val="32"/>
          <w:szCs w:val="32"/>
          <w:highlight w:val="none"/>
        </w:rPr>
        <w:t>60%</w:t>
      </w:r>
      <w:r>
        <w:rPr>
          <w:rFonts w:hint="eastAsia" w:eastAsia="仿宋_GB2312"/>
          <w:color w:val="auto"/>
          <w:sz w:val="32"/>
          <w:szCs w:val="32"/>
          <w:highlight w:val="none"/>
        </w:rPr>
        <w:t>以上，仲裁结案率</w:t>
      </w:r>
      <w:r>
        <w:rPr>
          <w:rFonts w:hint="eastAsia" w:eastAsia="仿宋_GB2312"/>
          <w:color w:val="auto"/>
          <w:sz w:val="32"/>
          <w:szCs w:val="32"/>
          <w:highlight w:val="none"/>
          <w:lang w:val="en-US" w:eastAsia="zh-CN"/>
        </w:rPr>
        <w:t>达</w:t>
      </w:r>
      <w:r>
        <w:rPr>
          <w:rFonts w:eastAsia="仿宋_GB2312"/>
          <w:color w:val="auto"/>
          <w:sz w:val="32"/>
          <w:szCs w:val="32"/>
          <w:highlight w:val="none"/>
        </w:rPr>
        <w:t>90%</w:t>
      </w:r>
      <w:r>
        <w:rPr>
          <w:rFonts w:hint="eastAsia" w:eastAsia="仿宋_GB2312"/>
          <w:color w:val="auto"/>
          <w:sz w:val="32"/>
          <w:szCs w:val="32"/>
          <w:highlight w:val="none"/>
        </w:rPr>
        <w:t>以</w:t>
      </w:r>
      <w:r>
        <w:rPr>
          <w:rFonts w:hint="eastAsia" w:ascii="仿宋_GB2312" w:hAnsi="仿宋_GB2312" w:eastAsia="仿宋_GB2312" w:cs="仿宋_GB2312"/>
          <w:color w:val="auto"/>
          <w:sz w:val="32"/>
          <w:szCs w:val="32"/>
          <w:highlight w:val="none"/>
        </w:rPr>
        <w:t>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调解成功率和仲裁结案率高于“十三五”水平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加强法律援助工作，充分发挥法律援助工作站功能，对困难职工进行帮扶；充分发挥法律援助律师作用，为农民工等群体提供快速高效的法律援助服务。加强裁审衔接工作，完善裁审衔接机制，拓宽裁审衔接通道，加强重大疑难案件研讨交流，促进裁审标准统一，合力化解农民工欠薪欠保等案件，切实维护劳动者合法权益。</w:t>
      </w:r>
    </w:p>
    <w:p>
      <w:pPr>
        <w:snapToGrid w:val="0"/>
        <w:textAlignment w:val="baseline"/>
        <w:rPr>
          <w:rFonts w:eastAsia="仿宋_GB2312"/>
          <w:sz w:val="20"/>
        </w:rPr>
      </w:pPr>
    </w:p>
    <w:p>
      <w:pPr>
        <w:pStyle w:val="4"/>
        <w:snapToGrid w:val="0"/>
        <w:jc w:val="center"/>
        <w:textAlignment w:val="baseline"/>
      </w:pPr>
      <w:bookmarkStart w:id="406" w:name="_Toc32453"/>
      <w:r>
        <w:rPr>
          <w:rFonts w:hint="eastAsia"/>
        </w:rPr>
        <w:t xml:space="preserve">第三节 </w:t>
      </w:r>
      <w:r>
        <w:rPr>
          <w:rFonts w:hint="eastAsia" w:ascii="Arial" w:hAnsi="Arial"/>
        </w:rPr>
        <w:t>提升劳动保障监察执法效能</w:t>
      </w:r>
      <w:bookmarkEnd w:id="406"/>
    </w:p>
    <w:p>
      <w:pPr>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eastAsia="仿宋_GB2312"/>
          <w:sz w:val="32"/>
          <w:szCs w:val="32"/>
        </w:rPr>
        <w:t>发挥政府负责，人社、住建、财政、公安等部门参与的根治欠薪联动机制作用，着力构建源头治理、平台预警、调解前置、依法处置、信用监管“五位一体”的欠薪治理体系。</w:t>
      </w:r>
      <w:r>
        <w:rPr>
          <w:rFonts w:hint="eastAsia" w:ascii="仿宋_GB2312" w:hAnsi="仿宋_GB2312" w:eastAsia="仿宋_GB2312" w:cs="仿宋_GB2312"/>
          <w:sz w:val="32"/>
          <w:szCs w:val="32"/>
        </w:rPr>
        <w:t>以落实《保障农民工工资支付条例》及省实施意见为抓手，持续推进根治拖欠农民工工资工作，落实保障农民工工资支付各项制度，加强源头预防和治理，落实拖欠农民工工资“黑名单”管理制度，提高违法惩戒震慑力。</w:t>
      </w:r>
      <w:r>
        <w:rPr>
          <w:rFonts w:hint="eastAsia" w:eastAsia="仿宋_GB2312"/>
          <w:sz w:val="32"/>
          <w:szCs w:val="32"/>
        </w:rPr>
        <w:t>推动各类企业普遍建立内部劳动争议协商调解机制。大力推进乡镇（街道）、村（社区）劳动争议调解组织建设，优化程序，调解优先，加快办案，提升效率。进一步推进人社领域群众诉求“一窗式”即接即办处理机制。</w:t>
      </w:r>
      <w:r>
        <w:rPr>
          <w:rFonts w:hint="eastAsia" w:ascii="仿宋_GB2312" w:hAnsi="仿宋_GB2312" w:eastAsia="仿宋_GB2312" w:cs="仿宋_GB2312"/>
          <w:sz w:val="32"/>
          <w:szCs w:val="32"/>
        </w:rPr>
        <w:t>发挥劳动保障监察“两网化”作用，健全劳动保障监察举报投诉联动处理机制，“十四五”期间，每年全州劳动保障监察举报投诉案件结案</w:t>
      </w:r>
      <w:r>
        <w:rPr>
          <w:rFonts w:hint="eastAsia" w:eastAsia="仿宋_GB2312"/>
          <w:sz w:val="32"/>
          <w:szCs w:val="32"/>
        </w:rPr>
        <w:t>率达</w:t>
      </w:r>
      <w:r>
        <w:rPr>
          <w:rFonts w:eastAsia="仿宋_GB2312"/>
          <w:sz w:val="32"/>
          <w:szCs w:val="32"/>
        </w:rPr>
        <w:t>96%</w:t>
      </w:r>
      <w:r>
        <w:rPr>
          <w:rFonts w:hint="eastAsia" w:eastAsia="仿宋_GB2312"/>
          <w:sz w:val="32"/>
          <w:szCs w:val="32"/>
        </w:rPr>
        <w:t>以</w:t>
      </w:r>
      <w:r>
        <w:rPr>
          <w:rFonts w:hint="eastAsia" w:ascii="仿宋_GB2312" w:hAnsi="仿宋_GB2312" w:eastAsia="仿宋_GB2312" w:cs="仿宋_GB2312"/>
          <w:sz w:val="32"/>
          <w:szCs w:val="32"/>
        </w:rPr>
        <w:t>上。健全劳动保障监察执法与刑事司法衔接机制，严厉打击拒不支付劳动报酬等违法犯罪行为。及时公布企业劳动保障诚信等级评价和重大违法行为，完善用人单位劳动保障守法诚信档案，落实劳动保障守信激励和失信惩戒制度。落实“双随机、一公开”监管机制，加强劳动保障主动监察。依托“贵州省劳动用工大数据综合服务平台”，推进智慧监察系统和劳动用工综合服务体系建设，探索新就业形态劳动保障权益维护机制。强化劳动保障监察机构在人力资源社会保障领域的综合执法职能，加强劳动保障监察执法能力建设，不断充实执法队伍力量和提升业务能力，合理配备执法装备和执法车辆，强化执法保障，切实提高劳动保障监察执法效能。</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pPr>
    </w:p>
    <w:p>
      <w:pPr>
        <w:pStyle w:val="23"/>
        <w:snapToGrid w:val="0"/>
        <w:textAlignment w:val="baseline"/>
        <w:rPr>
          <w:rFonts w:hint="eastAsia" w:ascii="黑体" w:hAnsi="黑体" w:eastAsia="黑体"/>
          <w:b w:val="0"/>
          <w:kern w:val="0"/>
          <w:sz w:val="28"/>
          <w:szCs w:val="28"/>
        </w:rPr>
      </w:pPr>
      <w:bookmarkStart w:id="407" w:name="_Toc17449"/>
      <w:r>
        <w:rPr>
          <w:rFonts w:hint="eastAsia" w:ascii="黑体" w:hAnsi="黑体" w:eastAsia="黑体"/>
          <w:b w:val="0"/>
          <w:kern w:val="0"/>
          <w:sz w:val="28"/>
          <w:szCs w:val="28"/>
        </w:rPr>
        <w:t>专栏1</w:t>
      </w:r>
      <w:r>
        <w:rPr>
          <w:rFonts w:hint="eastAsia" w:ascii="黑体" w:hAnsi="黑体" w:eastAsia="黑体"/>
          <w:b w:val="0"/>
          <w:kern w:val="0"/>
          <w:sz w:val="28"/>
          <w:szCs w:val="28"/>
          <w:lang w:val="en-US" w:eastAsia="zh-CN"/>
        </w:rPr>
        <w:t>5</w:t>
      </w:r>
      <w:r>
        <w:rPr>
          <w:rFonts w:hint="eastAsia" w:ascii="黑体" w:hAnsi="黑体" w:eastAsia="黑体"/>
          <w:b w:val="0"/>
          <w:kern w:val="0"/>
          <w:sz w:val="28"/>
          <w:szCs w:val="28"/>
        </w:rPr>
        <w:t xml:space="preserve">  农民工劳动权益保障服务提升行动</w:t>
      </w:r>
      <w:bookmarkEnd w:id="407"/>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lef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名  称</w:t>
            </w:r>
          </w:p>
        </w:tc>
        <w:tc>
          <w:tcPr>
            <w:tcW w:w="708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ind w:firstLine="480" w:firstLineChars="200"/>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畅通举报投诉通道，高效办理拖欠农民工工资案件和线索</w:t>
            </w:r>
          </w:p>
        </w:tc>
        <w:tc>
          <w:tcPr>
            <w:tcW w:w="708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（1）公开农民工劳动维权举报投诉咨询电话，规范拖欠农民工工资案件办理流程和线索核处程序，依法高效办理案件，及时妥善处置线索。</w:t>
            </w:r>
          </w:p>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（2）完善拖欠农民工工资案件“快调快处”机制，开通劳动仲裁“绿色通道”，及时化解矛盾问题。</w:t>
            </w:r>
          </w:p>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（3）健全劳动保障监察执法与刑事司法衔接机制，依法移送涉嫌拒不支付劳动报酬犯罪案件。</w:t>
            </w:r>
          </w:p>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（4）建立健全风险研判机制，对重大疑难欠薪案件和线索进行集体协商、及时化解。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指导和督促落实保障农民工工资支付“十项制度”</w:t>
            </w:r>
          </w:p>
        </w:tc>
        <w:tc>
          <w:tcPr>
            <w:tcW w:w="708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1）指导和督促在建项目严格落实保障农民工工资支付“十项制度”（用工备案制度、工资支付台账归集制度、实名制大数据监管制度、工资专户制度、人工费用与工程款分账管理制度、施工总承包单位代发工资制度、资金保障制度、工程款支付担保制度、施工过程结算制度、欠薪预警监测制度），并依托“贵州省劳动用工大数据综合服务平台”进行实时动态监管。</w:t>
            </w:r>
          </w:p>
          <w:p>
            <w:pPr>
              <w:widowControl w:val="0"/>
              <w:snapToGrid w:val="0"/>
              <w:spacing w:line="360" w:lineRule="exact"/>
              <w:ind w:firstLine="480" w:firstLineChars="200"/>
              <w:textAlignment w:val="baseline"/>
              <w:rPr>
                <w:rFonts w:hint="eastAsia" w:ascii="仿宋_GB2312" w:hAnsi="宋体" w:eastAsia="仿宋_GB2312" w:cs="仿宋_GB2312"/>
                <w:bCs/>
                <w:sz w:val="24"/>
                <w:szCs w:val="24"/>
                <w:lang w:eastAsia="zh-CN"/>
              </w:rPr>
            </w:pPr>
            <w:r>
              <w:rPr>
                <w:rFonts w:hint="eastAsia" w:ascii="仿宋_GB2312" w:hAnsi="宋体" w:eastAsia="仿宋_GB2312" w:cs="仿宋_GB2312"/>
                <w:bCs/>
                <w:sz w:val="24"/>
                <w:szCs w:val="24"/>
              </w:rPr>
              <w:t>（2）指导和督促相关部门做好劳资专管员的培训管理工作，适时开展“金牌劳资专管员”评选活动，营造比学赶超良好氛围</w:t>
            </w:r>
            <w:r>
              <w:rPr>
                <w:rFonts w:hint="eastAsia" w:ascii="仿宋_GB2312" w:hAnsi="宋体" w:eastAsia="仿宋_GB2312" w:cs="仿宋_GB2312"/>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加强工资支付诚信体系建设</w:t>
            </w:r>
          </w:p>
        </w:tc>
        <w:tc>
          <w:tcPr>
            <w:tcW w:w="708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及时向社会公布拖欠农民工工资“黑名单”和重大劳动保障违法行为，实施部门联合惩戒，提高企业或个人失信违法成本。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加大劳动保障法律法规宣传力度</w:t>
            </w:r>
          </w:p>
        </w:tc>
        <w:tc>
          <w:tcPr>
            <w:tcW w:w="708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hint="eastAsia" w:ascii="仿宋_GB2312" w:hAnsi="宋体" w:eastAsia="仿宋_GB2312" w:cs="仿宋_GB2312"/>
                <w:bCs/>
                <w:sz w:val="24"/>
                <w:szCs w:val="24"/>
                <w:lang w:eastAsia="zh-CN"/>
              </w:rPr>
            </w:pPr>
            <w:r>
              <w:rPr>
                <w:rFonts w:hint="eastAsia" w:ascii="仿宋_GB2312" w:hAnsi="宋体" w:eastAsia="仿宋_GB2312" w:cs="仿宋_GB2312"/>
                <w:bCs/>
                <w:sz w:val="24"/>
                <w:szCs w:val="24"/>
              </w:rPr>
              <w:t>加大《中华人民共和国劳动法》《中华人民共和国劳动合同法》《劳动保障监察条例》《保障农民工工资支付条例》等劳动保障法律法规的宣传力度，大力开展入企、入园和到项目的“零距离”宣传活动，同步做好企业用工指导和农民工维权咨询服务</w:t>
            </w:r>
            <w:r>
              <w:rPr>
                <w:rFonts w:hint="eastAsia" w:ascii="仿宋_GB2312" w:hAnsi="宋体" w:eastAsia="仿宋_GB2312" w:cs="仿宋_GB2312"/>
                <w:bCs/>
                <w:sz w:val="24"/>
                <w:szCs w:val="24"/>
                <w:lang w:eastAsia="zh-CN"/>
              </w:rPr>
              <w:t>。</w:t>
            </w:r>
          </w:p>
        </w:tc>
      </w:tr>
    </w:tbl>
    <w:p>
      <w:pPr>
        <w:pStyle w:val="3"/>
        <w:snapToGrid w:val="0"/>
        <w:spacing w:before="0" w:after="0" w:line="360" w:lineRule="auto"/>
        <w:jc w:val="center"/>
        <w:textAlignment w:val="baseline"/>
        <w:rPr>
          <w:rFonts w:hint="eastAsia" w:ascii="方正小标宋简体" w:eastAsia="方正小标宋简体"/>
          <w:b w:val="0"/>
        </w:rPr>
      </w:pPr>
      <w:bookmarkStart w:id="408" w:name="_Toc8818"/>
    </w:p>
    <w:p>
      <w:pPr>
        <w:rPr>
          <w:rFonts w:hint="eastAsia" w:ascii="方正小标宋简体" w:eastAsia="方正小标宋简体"/>
          <w:b w:val="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snapToGrid w:val="0"/>
        <w:textAlignment w:val="baseline"/>
        <w:rPr>
          <w:rFonts w:hint="eastAsia" w:eastAsia="方正小标宋简体"/>
          <w:sz w:val="20"/>
        </w:rPr>
      </w:pPr>
    </w:p>
    <w:p>
      <w:pPr>
        <w:pStyle w:val="3"/>
        <w:snapToGrid w:val="0"/>
        <w:spacing w:before="0" w:after="0" w:line="360" w:lineRule="auto"/>
        <w:jc w:val="center"/>
        <w:textAlignment w:val="baseline"/>
        <w:rPr>
          <w:rFonts w:hint="eastAsia" w:ascii="方正小标宋简体" w:eastAsia="方正小标宋简体"/>
          <w:b w:val="0"/>
        </w:rPr>
      </w:pPr>
      <w:r>
        <w:rPr>
          <w:rFonts w:hint="eastAsia" w:ascii="方正小标宋简体" w:eastAsia="方正小标宋简体"/>
          <w:b w:val="0"/>
        </w:rPr>
        <w:t xml:space="preserve">第七章 </w:t>
      </w:r>
      <w:bookmarkEnd w:id="367"/>
      <w:bookmarkEnd w:id="368"/>
      <w:bookmarkEnd w:id="369"/>
      <w:r>
        <w:rPr>
          <w:rFonts w:hint="eastAsia" w:ascii="方正小标宋简体" w:eastAsia="方正小标宋简体"/>
          <w:b w:val="0"/>
        </w:rPr>
        <w:t>提升人社公共服务能力</w:t>
      </w:r>
      <w:bookmarkEnd w:id="408"/>
    </w:p>
    <w:p>
      <w:pPr>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以打造“智慧人社”为目标，结合人社公共服务平台和社会保障卡应用建设，补齐基层人力资源社会保障公共服务设施短板，“服务下沉、管理上移”增强基层公共服务能力，提升基本公共服务标准化、信息化、便民化水平，更好地为群众提供优质便捷高效的基本公共服务。</w:t>
      </w:r>
    </w:p>
    <w:p>
      <w:pPr>
        <w:snapToGrid w:val="0"/>
        <w:spacing w:line="560" w:lineRule="exact"/>
        <w:ind w:firstLine="640" w:firstLineChars="200"/>
        <w:textAlignment w:val="baseline"/>
        <w:rPr>
          <w:rFonts w:ascii="仿宋_GB2312" w:hAnsi="仿宋_GB2312" w:eastAsia="仿宋_GB2312" w:cs="仿宋_GB2312"/>
          <w:sz w:val="32"/>
          <w:szCs w:val="32"/>
        </w:rPr>
      </w:pPr>
    </w:p>
    <w:p>
      <w:pPr>
        <w:pStyle w:val="4"/>
        <w:snapToGrid w:val="0"/>
        <w:jc w:val="center"/>
        <w:textAlignment w:val="baseline"/>
      </w:pPr>
      <w:bookmarkStart w:id="409" w:name="_Toc27670"/>
      <w:bookmarkStart w:id="410" w:name="_Toc24873"/>
      <w:bookmarkStart w:id="411" w:name="_Toc30262"/>
      <w:bookmarkStart w:id="412" w:name="_Toc21963"/>
      <w:r>
        <w:rPr>
          <w:rFonts w:hint="eastAsia"/>
        </w:rPr>
        <w:t xml:space="preserve">第一节 </w:t>
      </w:r>
      <w:r>
        <w:rPr>
          <w:rFonts w:hint="eastAsia" w:ascii="Arial" w:hAnsi="Arial"/>
        </w:rPr>
        <w:t>推动经办服务平台建设</w:t>
      </w:r>
      <w:bookmarkEnd w:id="409"/>
      <w:bookmarkEnd w:id="410"/>
      <w:bookmarkEnd w:id="411"/>
      <w:bookmarkEnd w:id="412"/>
    </w:p>
    <w:p>
      <w:pPr>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贯彻落实“放管服”改革要求，积极推动人力资源社会保障基本公共服务事项进驻各级政府政务服务大厅，</w:t>
      </w:r>
      <w:r>
        <w:rPr>
          <w:rFonts w:hint="eastAsia" w:ascii="仿宋_GB2312" w:hAnsi="仿宋_GB2312" w:eastAsia="仿宋_GB2312" w:cs="仿宋_GB2312"/>
          <w:color w:val="auto"/>
          <w:sz w:val="32"/>
          <w:szCs w:val="32"/>
          <w:u w:val="none"/>
        </w:rPr>
        <w:t>以社会保障卡为载体，</w:t>
      </w:r>
      <w:r>
        <w:rPr>
          <w:rFonts w:hint="eastAsia" w:ascii="仿宋_GB2312" w:hAnsi="仿宋_GB2312" w:eastAsia="仿宋_GB2312" w:cs="仿宋_GB2312"/>
          <w:sz w:val="32"/>
          <w:szCs w:val="32"/>
        </w:rPr>
        <w:t>着力拓展网上办事大厅、微信平台、多彩宝APP、贵州政务服务网等便民服务平台，推进人社服务实体平台与虚拟平台深度融合。积极推行综合柜员制，调整优化窗口设置，配优配强人员力量，提升一站式服务水平，</w:t>
      </w:r>
      <w:r>
        <w:rPr>
          <w:rFonts w:hint="eastAsia" w:ascii="仿宋_GB2312" w:hAnsi="仿宋_GB2312" w:eastAsia="仿宋_GB2312" w:cs="仿宋_GB2312"/>
          <w:color w:val="auto"/>
          <w:sz w:val="32"/>
          <w:szCs w:val="32"/>
          <w:highlight w:val="none"/>
          <w:u w:val="none"/>
        </w:rPr>
        <w:t>重点领域和高频事项实现“一网一门一窗一次”办结。</w:t>
      </w:r>
      <w:r>
        <w:rPr>
          <w:rFonts w:hint="eastAsia" w:ascii="仿宋_GB2312" w:hAnsi="仿宋_GB2312" w:eastAsia="仿宋_GB2312" w:cs="仿宋_GB2312"/>
          <w:sz w:val="32"/>
          <w:szCs w:val="32"/>
        </w:rPr>
        <w:t>加强基层经办服务建设，进一步将经办服务向互联网、移动终端等便民化载体延伸。个人业务全面下延基层办理，实现在乡镇（街道）、村（社区）就近办理个人业务。全面推进利用微信和手机</w:t>
      </w:r>
      <w:r>
        <w:rPr>
          <w:rFonts w:eastAsia="仿宋_GB2312"/>
          <w:sz w:val="32"/>
          <w:szCs w:val="32"/>
        </w:rPr>
        <w:t>APP</w:t>
      </w:r>
      <w:r>
        <w:rPr>
          <w:rFonts w:hint="eastAsia" w:hAnsi="仿宋_GB2312" w:eastAsia="仿宋_GB2312"/>
          <w:sz w:val="32"/>
          <w:szCs w:val="32"/>
        </w:rPr>
        <w:t>、自助设备为群众提供</w:t>
      </w:r>
      <w:r>
        <w:rPr>
          <w:rFonts w:eastAsia="仿宋_GB2312"/>
          <w:sz w:val="32"/>
          <w:szCs w:val="32"/>
        </w:rPr>
        <w:t xml:space="preserve"> 24 </w:t>
      </w:r>
      <w:r>
        <w:rPr>
          <w:rFonts w:hint="eastAsia" w:ascii="仿宋_GB2312" w:hAnsi="仿宋_GB2312" w:eastAsia="仿宋_GB2312" w:cs="仿宋_GB2312"/>
          <w:sz w:val="32"/>
          <w:szCs w:val="32"/>
        </w:rPr>
        <w:t>小时掌上参保缴费便利服务，全面提升公共服务能力，打造“智慧人社”服务品牌。加强标准化建设，打造布局科学、智慧高效、服务周全、环境舒适的人社办事大厅和智能化人力资源市场。</w:t>
      </w:r>
    </w:p>
    <w:p>
      <w:pPr>
        <w:pStyle w:val="23"/>
        <w:snapToGrid w:val="0"/>
        <w:spacing w:before="0" w:after="0"/>
        <w:ind w:firstLine="643"/>
        <w:textAlignment w:val="baseline"/>
      </w:pPr>
    </w:p>
    <w:p>
      <w:pPr>
        <w:pStyle w:val="4"/>
        <w:snapToGrid w:val="0"/>
        <w:jc w:val="center"/>
        <w:textAlignment w:val="baseline"/>
      </w:pPr>
      <w:bookmarkStart w:id="413" w:name="_Toc6930"/>
      <w:bookmarkStart w:id="414" w:name="_Toc888"/>
      <w:bookmarkStart w:id="415" w:name="_Toc16902"/>
      <w:bookmarkStart w:id="416" w:name="_Toc10621"/>
      <w:r>
        <w:rPr>
          <w:rFonts w:hint="eastAsia"/>
        </w:rPr>
        <w:t>第二节 共享大数据信息促服务提升</w:t>
      </w:r>
      <w:bookmarkEnd w:id="413"/>
      <w:bookmarkEnd w:id="414"/>
      <w:bookmarkEnd w:id="415"/>
      <w:bookmarkEnd w:id="416"/>
    </w:p>
    <w:p>
      <w:pPr>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加强信息共享标准化建设，加强部门间信息交换共享，完善部门间信息共享机制，运用大数据技术实现证照共享、业务协同，推进审批服务便民化，完善管理运行制度，精简服务目录事项材料清单和办事流程，进一步缩减经办流程、提升办事效率，推动人社经办服务的颗粒化、精准化和智能化，实现更多人社业务“最多跑一次”。 </w:t>
      </w:r>
    </w:p>
    <w:p>
      <w:pPr>
        <w:snapToGrid w:val="0"/>
        <w:spacing w:line="560" w:lineRule="exact"/>
        <w:ind w:firstLine="640" w:firstLineChars="200"/>
        <w:textAlignment w:val="baseline"/>
        <w:rPr>
          <w:rFonts w:ascii="仿宋_GB2312" w:hAnsi="仿宋_GB2312" w:eastAsia="仿宋_GB2312" w:cs="仿宋_GB2312"/>
          <w:sz w:val="32"/>
          <w:szCs w:val="32"/>
        </w:rPr>
      </w:pPr>
    </w:p>
    <w:p>
      <w:pPr>
        <w:pStyle w:val="4"/>
        <w:snapToGrid w:val="0"/>
        <w:jc w:val="center"/>
        <w:textAlignment w:val="baseline"/>
      </w:pPr>
      <w:bookmarkStart w:id="417" w:name="_Toc28641"/>
      <w:bookmarkStart w:id="418" w:name="_Toc13422"/>
      <w:bookmarkStart w:id="419" w:name="_Toc20359"/>
      <w:bookmarkStart w:id="420" w:name="_Toc14034"/>
      <w:r>
        <w:rPr>
          <w:rFonts w:hint="eastAsia"/>
        </w:rPr>
        <w:t>第三节 推进社保卡“一卡通”服务</w:t>
      </w:r>
      <w:bookmarkEnd w:id="417"/>
      <w:bookmarkEnd w:id="418"/>
      <w:bookmarkEnd w:id="419"/>
      <w:bookmarkEnd w:id="420"/>
    </w:p>
    <w:p>
      <w:pPr>
        <w:keepNext w:val="0"/>
        <w:keepLines w:val="0"/>
        <w:pageBreakBefore w:val="0"/>
        <w:widowControl w:val="0"/>
        <w:kinsoku/>
        <w:wordWrap/>
        <w:overflowPunct/>
        <w:topLinePunct w:val="0"/>
        <w:autoSpaceDE/>
        <w:autoSpaceDN/>
        <w:adjustRightInd/>
        <w:snapToGrid/>
        <w:spacing w:line="640" w:lineRule="exact"/>
        <w:ind w:firstLine="640"/>
        <w:rPr>
          <w:rFonts w:hint="eastAsia" w:ascii="仿宋_GB2312" w:hAnsi="仿宋_GB2312" w:eastAsia="仿宋_GB2312" w:cs="仿宋_GB2312"/>
          <w:sz w:val="32"/>
          <w:szCs w:val="32"/>
        </w:rPr>
      </w:pPr>
      <w:r>
        <w:rPr>
          <w:rFonts w:hint="eastAsia" w:ascii="仿宋_GB2312" w:eastAsia="仿宋_GB2312" w:cs="仿宋_GB2312"/>
          <w:color w:val="auto"/>
          <w:sz w:val="32"/>
          <w:szCs w:val="32"/>
          <w:highlight w:val="none"/>
          <w:u w:val="none"/>
          <w:lang w:val="en-US" w:eastAsia="zh-CN"/>
        </w:rPr>
        <w:t>以“一卡多用，全州通用”为目标，以实体社会保障卡和电子社会保障卡为载体，依托数字经济中台的组织连接和服务能力，搭建以政府为主导的本地统一的社保账户体系，进一步拓宽社会保障卡在经办服务领域的应用，推动建立以社会保障卡为载体的“一卡通”服务管理模式，有效统一本地流量及汇集用户资源，聚合消费服务需求，建立黔南本地的基础数据库和社保卡“一卡通”应用体系，为黔南居民构建统一、便捷的社会保障和服务应用，提供数字基础设施保障。实现社会保障卡发放人社部门各项待遇及财政惠农惠民资金，着力发挥第三代社会保障卡的城市服务和便民作用。</w:t>
      </w:r>
    </w:p>
    <w:p>
      <w:pPr>
        <w:pStyle w:val="2"/>
        <w:rPr>
          <w:rFonts w:ascii="仿宋_GB2312" w:hAnsi="仿宋_GB2312" w:eastAsia="仿宋_GB2312" w:cs="仿宋_GB2312"/>
          <w:sz w:val="32"/>
          <w:szCs w:val="32"/>
        </w:rPr>
      </w:pPr>
    </w:p>
    <w:p>
      <w:pPr>
        <w:pStyle w:val="4"/>
        <w:snapToGrid w:val="0"/>
        <w:jc w:val="center"/>
        <w:textAlignment w:val="baseline"/>
      </w:pPr>
      <w:bookmarkStart w:id="421" w:name="_Toc31493"/>
      <w:r>
        <w:rPr>
          <w:rFonts w:hint="eastAsia"/>
        </w:rPr>
        <w:t>第四节 加强人社系统行风建设</w:t>
      </w:r>
      <w:bookmarkEnd w:id="421"/>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实施人社系统行风建设提升行动。构建简约高效的人社服务管理制度体系，深入实施“人社服务快办行动”，不断提升企业群众办事体验，统筹推进线上线下服务。</w:t>
      </w:r>
      <w:r>
        <w:rPr>
          <w:rFonts w:hint="eastAsia" w:ascii="仿宋_GB2312" w:hAnsi="仿宋_GB2312" w:eastAsia="仿宋_GB2312" w:cs="仿宋_GB2312"/>
          <w:color w:val="auto"/>
          <w:sz w:val="32"/>
          <w:szCs w:val="32"/>
          <w:u w:val="none"/>
        </w:rPr>
        <w:t>充分发挥数字中台作用，以社保卡为载体，</w:t>
      </w:r>
      <w:r>
        <w:rPr>
          <w:rFonts w:hint="eastAsia" w:ascii="仿宋_GB2312" w:hAnsi="仿宋_GB2312" w:eastAsia="仿宋_GB2312" w:cs="仿宋_GB2312"/>
          <w:sz w:val="32"/>
          <w:szCs w:val="32"/>
        </w:rPr>
        <w:t>实现人社政务服务线上“一网通办”、线下“只进一扇门”、现场办理“最多跑一次”、社会保障卡“一卡通用”。建立健全人力资源社会保障公共服务从业人员继续教育制度。实施社保经办管理服务能力提升工程，持续开展业务技能练兵比武。规范各级人社机构基本公共服务供给行为。建立公众满意度测评指标体系，健全监督问责机制。</w:t>
      </w:r>
    </w:p>
    <w:p>
      <w:pPr>
        <w:pStyle w:val="4"/>
        <w:snapToGrid w:val="0"/>
        <w:jc w:val="center"/>
        <w:textAlignment w:val="baseline"/>
      </w:pPr>
      <w:bookmarkStart w:id="422" w:name="_Toc4010"/>
      <w:bookmarkStart w:id="423" w:name="_Toc30878"/>
      <w:bookmarkStart w:id="424" w:name="_Toc2904"/>
      <w:r>
        <w:rPr>
          <w:rFonts w:hint="eastAsia"/>
        </w:rPr>
        <w:t xml:space="preserve">第五节 </w:t>
      </w:r>
      <w:r>
        <w:rPr>
          <w:rFonts w:hint="eastAsia" w:ascii="Arial" w:hAnsi="Arial"/>
        </w:rPr>
        <w:t>实施服务能力提升工程</w:t>
      </w:r>
      <w:bookmarkEnd w:id="422"/>
      <w:bookmarkEnd w:id="423"/>
      <w:bookmarkEnd w:id="424"/>
    </w:p>
    <w:p>
      <w:pPr>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大力实施人社服务能力提升工程，不断增加公共服务供给，提升公共服务能力，构建覆盖全民、均等可及、高效优质的人社公共服务体系，不断提升服务水平和群众满意度。</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
      <w:pPr>
        <w:pStyle w:val="23"/>
        <w:snapToGrid w:val="0"/>
        <w:textAlignment w:val="baseline"/>
        <w:rPr>
          <w:rFonts w:hint="eastAsia" w:ascii="黑体" w:hAnsi="黑体" w:eastAsia="黑体"/>
          <w:b w:val="0"/>
          <w:kern w:val="0"/>
          <w:sz w:val="28"/>
          <w:szCs w:val="28"/>
        </w:rPr>
      </w:pPr>
      <w:bookmarkStart w:id="425" w:name="_Toc31888"/>
      <w:r>
        <w:rPr>
          <w:rFonts w:hint="eastAsia" w:ascii="黑体" w:hAnsi="黑体" w:eastAsia="黑体"/>
          <w:b w:val="0"/>
          <w:kern w:val="0"/>
          <w:sz w:val="28"/>
          <w:szCs w:val="28"/>
        </w:rPr>
        <w:t>专栏1</w:t>
      </w:r>
      <w:r>
        <w:rPr>
          <w:rFonts w:hint="eastAsia" w:ascii="黑体" w:hAnsi="黑体" w:eastAsia="黑体"/>
          <w:b w:val="0"/>
          <w:kern w:val="0"/>
          <w:sz w:val="28"/>
          <w:szCs w:val="28"/>
          <w:lang w:val="en-US" w:eastAsia="zh-CN"/>
        </w:rPr>
        <w:t>6</w:t>
      </w:r>
      <w:r>
        <w:rPr>
          <w:rFonts w:hint="eastAsia" w:ascii="黑体" w:hAnsi="黑体" w:eastAsia="黑体"/>
          <w:b w:val="0"/>
          <w:kern w:val="0"/>
          <w:sz w:val="28"/>
          <w:szCs w:val="28"/>
        </w:rPr>
        <w:t xml:space="preserve"> 服务能力提升工程</w:t>
      </w:r>
      <w:bookmarkEnd w:id="425"/>
    </w:p>
    <w:tbl>
      <w:tblPr>
        <w:tblStyle w:val="2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名</w:t>
            </w:r>
            <w:r>
              <w:rPr>
                <w:rFonts w:hint="eastAsia" w:ascii="仿宋_GB2312" w:hAnsi="宋体" w:eastAsia="仿宋_GB2312" w:cs="仿宋_GB2312"/>
                <w:bCs/>
                <w:sz w:val="24"/>
                <w:szCs w:val="24"/>
                <w:lang w:val="en-US" w:eastAsia="zh-CN"/>
              </w:rPr>
              <w:t xml:space="preserve"> </w:t>
            </w:r>
            <w:r>
              <w:rPr>
                <w:rFonts w:hint="eastAsia" w:ascii="仿宋_GB2312" w:hAnsi="宋体" w:eastAsia="仿宋_GB2312" w:cs="仿宋_GB2312"/>
                <w:bCs/>
                <w:sz w:val="24"/>
                <w:szCs w:val="24"/>
              </w:rPr>
              <w:t>称</w:t>
            </w:r>
          </w:p>
        </w:tc>
        <w:tc>
          <w:tcPr>
            <w:tcW w:w="767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jc w:val="center"/>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综合服务平台建设工程</w:t>
            </w:r>
          </w:p>
        </w:tc>
        <w:tc>
          <w:tcPr>
            <w:tcW w:w="767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以打造“智慧人社”为目标，结合社会保障卡“一卡通”与人社公共服务平台建设，</w:t>
            </w:r>
            <w:r>
              <w:rPr>
                <w:rFonts w:hint="eastAsia" w:ascii="仿宋_GB2312" w:hAnsi="宋体" w:eastAsia="仿宋_GB2312" w:cs="仿宋_GB2312"/>
                <w:bCs/>
                <w:color w:val="auto"/>
                <w:sz w:val="24"/>
                <w:szCs w:val="24"/>
                <w:u w:val="none"/>
              </w:rPr>
              <w:t>建立以社会保障卡为载体的“一卡通”服务管理模式。</w:t>
            </w:r>
            <w:r>
              <w:rPr>
                <w:rFonts w:hint="eastAsia" w:ascii="仿宋_GB2312" w:hAnsi="宋体" w:eastAsia="仿宋_GB2312" w:cs="仿宋_GB2312"/>
                <w:bCs/>
                <w:sz w:val="24"/>
                <w:szCs w:val="24"/>
              </w:rPr>
              <w:t>以线下基层服务网点及线上应用平台为依托，推行人力资源和社会保障服务体系向基层延伸，提升覆盖城乡、全方位的劳动就业、社会保险、人才培训、劳动投诉等公共服务能力（含自助服务）。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exact"/>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经办服务培训工程</w:t>
            </w:r>
          </w:p>
        </w:tc>
        <w:tc>
          <w:tcPr>
            <w:tcW w:w="7679" w:type="dxa"/>
            <w:tcBorders>
              <w:top w:val="single" w:color="auto" w:sz="4" w:space="0"/>
              <w:left w:val="single" w:color="auto" w:sz="4" w:space="0"/>
              <w:bottom w:val="single" w:color="auto" w:sz="4" w:space="0"/>
              <w:right w:val="single" w:color="auto" w:sz="4" w:space="0"/>
            </w:tcBorders>
          </w:tcPr>
          <w:p>
            <w:pPr>
              <w:widowControl w:val="0"/>
              <w:snapToGrid w:val="0"/>
              <w:spacing w:line="360" w:lineRule="exact"/>
              <w:ind w:firstLine="480" w:firstLineChars="200"/>
              <w:textAlignment w:val="baseline"/>
              <w:rPr>
                <w:rFonts w:ascii="仿宋_GB2312" w:hAnsi="宋体" w:eastAsia="仿宋_GB2312" w:cs="仿宋_GB2312"/>
                <w:bCs/>
                <w:sz w:val="24"/>
                <w:szCs w:val="24"/>
              </w:rPr>
            </w:pPr>
            <w:r>
              <w:rPr>
                <w:rFonts w:hint="eastAsia" w:ascii="仿宋_GB2312" w:hAnsi="宋体" w:eastAsia="仿宋_GB2312" w:cs="仿宋_GB2312"/>
                <w:bCs/>
                <w:sz w:val="24"/>
                <w:szCs w:val="24"/>
              </w:rPr>
              <w:t>以公共服务平台应用推广为契机，大力推进人力资源社会保障经办，加快建立健全人力资源社会保障经办服务培训，推进州、县（市）、乡镇（街道办）、村（社区） 人力资源社会保障经办人员业务培训，整体提升经办水平和服务能力。</w:t>
            </w:r>
          </w:p>
        </w:tc>
      </w:tr>
    </w:tbl>
    <w:p>
      <w:pPr>
        <w:snapToGrid w:val="0"/>
        <w:spacing w:before="312" w:beforeAutospacing="1" w:after="312" w:afterAutospacing="1" w:line="360" w:lineRule="auto"/>
        <w:jc w:val="left"/>
        <w:textAlignment w:val="baseline"/>
        <w:rPr>
          <w:rFonts w:ascii="方正小标宋简体" w:hAnsi="方正小标宋简体" w:eastAsia="方正小标宋简体" w:cs="方正小标宋简体"/>
          <w:kern w:val="0"/>
          <w:sz w:val="36"/>
          <w:szCs w:val="36"/>
        </w:rPr>
        <w:sectPr>
          <w:pgSz w:w="11905" w:h="16838"/>
          <w:pgMar w:top="1814" w:right="1587" w:bottom="1701" w:left="1587" w:header="720" w:footer="720" w:gutter="0"/>
          <w:pgNumType w:fmt="numberInDash"/>
          <w:cols w:space="0" w:num="1"/>
          <w:titlePg/>
        </w:sectPr>
      </w:pPr>
    </w:p>
    <w:p>
      <w:pPr>
        <w:pStyle w:val="3"/>
        <w:snapToGrid w:val="0"/>
        <w:spacing w:before="0" w:after="0" w:line="360" w:lineRule="auto"/>
        <w:jc w:val="center"/>
        <w:textAlignment w:val="baseline"/>
        <w:rPr>
          <w:rFonts w:ascii="方正小标宋简体" w:hAnsi="仿宋_GB2312" w:eastAsia="方正小标宋简体" w:cs="仿宋_GB2312"/>
          <w:b w:val="0"/>
          <w:sz w:val="32"/>
          <w:szCs w:val="32"/>
        </w:rPr>
      </w:pPr>
      <w:bookmarkStart w:id="426" w:name="_Toc12797"/>
      <w:bookmarkStart w:id="427" w:name="_Toc9423"/>
      <w:r>
        <w:rPr>
          <w:rFonts w:hint="eastAsia" w:ascii="方正小标宋简体" w:eastAsia="方正小标宋简体"/>
          <w:b w:val="0"/>
        </w:rPr>
        <w:t>第八章 强化规划实施保障</w:t>
      </w:r>
      <w:bookmarkEnd w:id="426"/>
      <w:bookmarkEnd w:id="427"/>
    </w:p>
    <w:p>
      <w:pPr>
        <w:snapToGrid w:val="0"/>
        <w:spacing w:line="360" w:lineRule="auto"/>
        <w:ind w:firstLine="427"/>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“十四五”时期人力资源和社会保障事业改革发展任务艰巨，要广泛发动各方力量，完善并强化保障措施，突出重点、统揽全局，努力实现规划确定的各项目标任务。</w:t>
      </w:r>
    </w:p>
    <w:p>
      <w:pPr>
        <w:pStyle w:val="4"/>
        <w:snapToGrid w:val="0"/>
        <w:jc w:val="center"/>
        <w:textAlignment w:val="baseline"/>
      </w:pPr>
      <w:bookmarkStart w:id="428" w:name="_Toc28782"/>
      <w:bookmarkStart w:id="429" w:name="_Toc20719"/>
      <w:r>
        <w:rPr>
          <w:rFonts w:hint="eastAsia"/>
        </w:rPr>
        <w:t>第一节 抓好规划落实</w:t>
      </w:r>
      <w:bookmarkEnd w:id="428"/>
      <w:bookmarkEnd w:id="429"/>
    </w:p>
    <w:p>
      <w:pPr>
        <w:snapToGrid w:val="0"/>
        <w:spacing w:line="360" w:lineRule="auto"/>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szCs w:val="32"/>
        </w:rPr>
        <w:t>加强规划实施的宏观指导、统筹协调和宣传引导，制定规划目标任务分解落实方案。加强年度计划编制实施，强化重点指标和重点任务定期监测和动态监测，建立规划实施情况中期评估、考核机制，确保各项目标任务的完成。组织、宣传、教育、财政、</w:t>
      </w:r>
      <w:r>
        <w:rPr>
          <w:rFonts w:hint="eastAsia" w:ascii="仿宋_GB2312" w:hAnsi="仿宋_GB2312" w:eastAsia="仿宋_GB2312" w:cs="仿宋_GB2312"/>
          <w:sz w:val="32"/>
          <w:szCs w:val="32"/>
          <w:lang w:val="en-US" w:eastAsia="zh-CN"/>
        </w:rPr>
        <w:t>发改、</w:t>
      </w:r>
      <w:r>
        <w:rPr>
          <w:rFonts w:hint="eastAsia" w:ascii="仿宋_GB2312" w:hAnsi="仿宋_GB2312" w:eastAsia="仿宋_GB2312" w:cs="仿宋_GB2312"/>
          <w:sz w:val="32"/>
          <w:szCs w:val="32"/>
        </w:rPr>
        <w:t>人社、住建、文旅、农业农村、退役军人、应急、统计、乡村振兴、大数据、政务中心，妇联、残联、</w:t>
      </w:r>
      <w:r>
        <w:rPr>
          <w:rFonts w:hint="eastAsia" w:ascii="仿宋_GB2312" w:hAnsi="仿宋_GB2312" w:eastAsia="仿宋_GB2312" w:cs="仿宋_GB2312"/>
          <w:sz w:val="32"/>
          <w:szCs w:val="32"/>
          <w:lang w:eastAsia="zh-CN"/>
        </w:rPr>
        <w:t>高等</w:t>
      </w:r>
      <w:r>
        <w:rPr>
          <w:rFonts w:hint="eastAsia" w:ascii="仿宋_GB2312" w:hAnsi="仿宋_GB2312" w:eastAsia="仿宋_GB2312" w:cs="仿宋_GB2312"/>
          <w:sz w:val="32"/>
          <w:szCs w:val="32"/>
        </w:rPr>
        <w:t>院校、技师院校等部门和单位要发挥各自职能作用，加大资源统筹、共享力度，形成工作合力，提升规划实施效果。建立健全规划实施考核评估制度，推动规划目标任务落实。</w:t>
      </w:r>
    </w:p>
    <w:p>
      <w:pPr>
        <w:pStyle w:val="4"/>
        <w:snapToGrid w:val="0"/>
        <w:jc w:val="center"/>
        <w:textAlignment w:val="baseline"/>
      </w:pPr>
      <w:bookmarkStart w:id="430" w:name="_Toc18661"/>
      <w:r>
        <w:rPr>
          <w:rFonts w:hint="eastAsia"/>
        </w:rPr>
        <w:t>第二节 坚持依法行政</w:t>
      </w:r>
      <w:bookmarkEnd w:id="430"/>
    </w:p>
    <w:p>
      <w:pPr>
        <w:snapToGrid w:val="0"/>
        <w:spacing w:line="579" w:lineRule="exact"/>
        <w:ind w:firstLine="636"/>
        <w:textAlignment w:val="baseline"/>
        <w:rPr>
          <w:rFonts w:ascii="仿宋_GB2312" w:eastAsia="仿宋_GB2312"/>
          <w:kern w:val="0"/>
          <w:sz w:val="32"/>
          <w:szCs w:val="32"/>
        </w:rPr>
      </w:pPr>
      <w:r>
        <w:rPr>
          <w:rFonts w:hint="eastAsia" w:ascii="仿宋" w:hAnsi="仿宋" w:eastAsia="仿宋" w:cs="仿宋"/>
          <w:kern w:val="0"/>
          <w:sz w:val="32"/>
          <w:szCs w:val="32"/>
        </w:rPr>
        <w:t>深入学习贯彻习近平总书记全面依法治国新理念新思想新战略，加快推进法治人社建设，全面落实普法责任制，强化普法执法互动结合，全面提升人社行政执法能力与水平。</w:t>
      </w:r>
      <w:r>
        <w:rPr>
          <w:rFonts w:hint="eastAsia" w:ascii="仿宋_GB2312" w:eastAsia="仿宋_GB2312"/>
          <w:kern w:val="0"/>
          <w:sz w:val="32"/>
          <w:szCs w:val="32"/>
        </w:rPr>
        <w:t>深化行政审批制度改革，持续推进简政放权、放管结合、优化服务。加强依法行政制度建设，健全依法决策机制，提升行政规范性文件法制审核工作质量，完善公职律师、法律顾问制度和行政复议、行政应诉、检察监督工作制度。</w:t>
      </w:r>
    </w:p>
    <w:p>
      <w:pPr>
        <w:pStyle w:val="4"/>
        <w:snapToGrid w:val="0"/>
        <w:jc w:val="center"/>
        <w:textAlignment w:val="baseline"/>
      </w:pPr>
      <w:bookmarkStart w:id="431" w:name="_Toc29724"/>
      <w:bookmarkStart w:id="432" w:name="_Toc27442"/>
      <w:r>
        <w:rPr>
          <w:rFonts w:hint="eastAsia"/>
        </w:rPr>
        <w:t>第三节 加大财政投入</w:t>
      </w:r>
      <w:bookmarkEnd w:id="431"/>
      <w:bookmarkEnd w:id="432"/>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推动建立同人力资源社会保障事业发展需要相适应、同经济发展水平相匹配的财政投入增长机制，加大对人力资源社会保障公共服务管理的经费投入。积极争取各级财政加大对人力资源社会保障重点工程的投入力度，保障重点工程顺利实施。建立政府、企业、社会多渠道筹资机制，提高人力资源社会保障公共服务的供给水平和均等化水平。</w:t>
      </w:r>
    </w:p>
    <w:p>
      <w:pPr>
        <w:pStyle w:val="4"/>
        <w:snapToGrid w:val="0"/>
        <w:jc w:val="center"/>
        <w:textAlignment w:val="baseline"/>
      </w:pPr>
      <w:bookmarkStart w:id="433" w:name="_Toc10289"/>
      <w:bookmarkStart w:id="434" w:name="_Toc28674"/>
      <w:r>
        <w:rPr>
          <w:rFonts w:hint="eastAsia"/>
        </w:rPr>
        <w:t xml:space="preserve">第四节 </w:t>
      </w:r>
      <w:r>
        <w:rPr>
          <w:rFonts w:hint="eastAsia" w:ascii="Arial" w:hAnsi="Arial"/>
        </w:rPr>
        <w:t>加强队伍建设</w:t>
      </w:r>
      <w:bookmarkEnd w:id="433"/>
      <w:bookmarkEnd w:id="434"/>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加强人力资源社会保障系统干部队伍建设，进一步理顺管理体制，合理配置工作人员，优化人员结构。加快完善基层工作机制，充实基层工作人员，加强人力资源社会保障系统干部职工法规政策、职业道德、业务知识和信息化管理能力培训，进一步提升工作队伍的思想素质和业务水平。加强作风和制度建设，强化重点岗位廉政风险教育、党的宗旨教育、纯洁性教育,打造优质文明服务窗口，加快后备干部、优秀年轻干部以及专业人才队伍的培养选拔，大力加强行风、政风、作风和廉政建设，提高干部职工依法行政的能力和服务水平，努力建设一支勤政、廉洁、务实、高效的工作队伍，树立人社部门良好形象。</w:t>
      </w:r>
    </w:p>
    <w:p>
      <w:pPr>
        <w:pStyle w:val="4"/>
        <w:snapToGrid w:val="0"/>
        <w:jc w:val="center"/>
        <w:textAlignment w:val="baseline"/>
      </w:pPr>
      <w:bookmarkStart w:id="435" w:name="_Toc32304"/>
      <w:bookmarkStart w:id="436" w:name="_Toc23472"/>
      <w:r>
        <w:rPr>
          <w:rFonts w:hint="eastAsia"/>
        </w:rPr>
        <w:t>第五节 加大宣传力度</w:t>
      </w:r>
      <w:bookmarkEnd w:id="435"/>
      <w:bookmarkEnd w:id="436"/>
    </w:p>
    <w:p>
      <w:pPr>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充分利用网络、报刊、广播、电视等多种新媒介，全方位多角度宣传人力资源社会保障的法律法规和政策举措，大力宣传黔南实施该项规划的重大意义和主要内容，争取社会各界和人民群众的理解和支持。着力宣传规划落实过程中典型经验和先进事例，充分发挥示范带动作用，积极营造良好的社会环境和舆论氛围。</w:t>
      </w:r>
    </w:p>
    <w:p>
      <w:pPr>
        <w:pStyle w:val="23"/>
        <w:snapToGrid w:val="0"/>
        <w:spacing w:before="0" w:after="0" w:line="360" w:lineRule="auto"/>
        <w:textAlignment w:val="baseline"/>
      </w:pPr>
    </w:p>
    <w:p>
      <w:pPr>
        <w:snapToGrid w:val="0"/>
        <w:spacing w:line="360" w:lineRule="auto"/>
        <w:ind w:firstLine="640" w:firstLineChars="200"/>
        <w:textAlignment w:val="baseline"/>
        <w:rPr>
          <w:rFonts w:ascii="仿宋_GB2312" w:hAnsi="仿宋_GB2312" w:eastAsia="仿宋_GB2312" w:cs="仿宋_GB2312"/>
          <w:sz w:val="32"/>
          <w:szCs w:val="32"/>
        </w:rPr>
      </w:pPr>
    </w:p>
    <w:p>
      <w:pPr>
        <w:snapToGrid w:val="0"/>
        <w:spacing w:before="312" w:beforeAutospacing="1" w:after="312" w:afterAutospacing="1" w:line="360" w:lineRule="auto"/>
        <w:jc w:val="left"/>
        <w:textAlignment w:val="baseline"/>
        <w:rPr>
          <w:rFonts w:ascii="仿宋_GB2312" w:hAnsi="仿宋_GB2312" w:eastAsia="仿宋_GB2312" w:cs="仿宋_GB2312"/>
          <w:kern w:val="0"/>
          <w:sz w:val="32"/>
          <w:szCs w:val="32"/>
        </w:rPr>
        <w:sectPr>
          <w:pgSz w:w="11905" w:h="16838"/>
          <w:pgMar w:top="1814" w:right="1587" w:bottom="1701" w:left="1587" w:header="720" w:footer="964" w:gutter="0"/>
          <w:pgNumType w:fmt="numberInDash"/>
          <w:cols w:space="0" w:num="1"/>
          <w:titlePg/>
        </w:sectPr>
      </w:pPr>
    </w:p>
    <w:p>
      <w:pPr>
        <w:pStyle w:val="5"/>
        <w:snapToGrid w:val="0"/>
        <w:spacing w:before="0" w:after="0" w:line="360" w:lineRule="auto"/>
        <w:textAlignment w:val="baseline"/>
        <w:rPr>
          <w:rFonts w:eastAsia="方正小标宋简体"/>
          <w:b w:val="0"/>
        </w:rPr>
      </w:pPr>
      <w:bookmarkStart w:id="437" w:name="_Toc78529380"/>
      <w:r>
        <w:rPr>
          <w:rFonts w:hint="eastAsia" w:eastAsia="方正小标宋简体"/>
          <w:b w:val="0"/>
        </w:rPr>
        <w:t>附件</w:t>
      </w:r>
    </w:p>
    <w:p>
      <w:pPr>
        <w:pStyle w:val="5"/>
        <w:snapToGrid w:val="0"/>
        <w:spacing w:before="0" w:after="0" w:line="360" w:lineRule="auto"/>
        <w:jc w:val="center"/>
        <w:textAlignment w:val="baseline"/>
        <w:rPr>
          <w:rFonts w:eastAsia="方正小标宋简体"/>
          <w:b w:val="0"/>
        </w:rPr>
      </w:pPr>
      <w:r>
        <w:rPr>
          <w:rFonts w:hint="eastAsia" w:eastAsia="方正小标宋简体"/>
          <w:b w:val="0"/>
        </w:rPr>
        <w:t>黔南州人力资源和社会保障事业发</w:t>
      </w:r>
      <w:r>
        <w:rPr>
          <w:rFonts w:hint="eastAsia" w:ascii="方正小标宋简体" w:eastAsia="方正小标宋简体"/>
          <w:b w:val="0"/>
        </w:rPr>
        <w:t>展“十四五”工程任</w:t>
      </w:r>
      <w:r>
        <w:rPr>
          <w:rFonts w:hint="eastAsia" w:eastAsia="方正小标宋简体"/>
          <w:b w:val="0"/>
        </w:rPr>
        <w:t>务</w:t>
      </w:r>
      <w:bookmarkEnd w:id="437"/>
    </w:p>
    <w:p>
      <w:pPr>
        <w:snapToGrid w:val="0"/>
        <w:textAlignment w:val="baseline"/>
        <w:rPr>
          <w:rFonts w:eastAsia="方正小标宋简体"/>
          <w:sz w:val="20"/>
        </w:rPr>
      </w:pPr>
    </w:p>
    <w:tbl>
      <w:tblPr>
        <w:tblStyle w:val="25"/>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312"/>
        <w:gridCol w:w="1541"/>
        <w:gridCol w:w="9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b/>
                <w:bCs/>
                <w:sz w:val="24"/>
              </w:rPr>
            </w:pPr>
            <w:r>
              <w:rPr>
                <w:rFonts w:hint="eastAsia" w:ascii="仿宋_GB2312" w:eastAsia="仿宋_GB2312"/>
                <w:b/>
                <w:bCs/>
                <w:sz w:val="24"/>
              </w:rPr>
              <w:t>序号</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b/>
                <w:bCs/>
                <w:sz w:val="24"/>
              </w:rPr>
            </w:pPr>
            <w:r>
              <w:rPr>
                <w:rFonts w:hint="eastAsia" w:ascii="仿宋_GB2312" w:eastAsia="仿宋_GB2312"/>
                <w:b/>
                <w:bCs/>
                <w:sz w:val="24"/>
              </w:rPr>
              <w:t>任务名称</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b/>
                <w:bCs/>
                <w:sz w:val="24"/>
              </w:rPr>
            </w:pPr>
            <w:r>
              <w:rPr>
                <w:rFonts w:hint="eastAsia" w:ascii="仿宋_GB2312" w:eastAsia="仿宋_GB2312"/>
                <w:b/>
                <w:bCs/>
                <w:sz w:val="24"/>
              </w:rPr>
              <w:t>任务期限</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b/>
                <w:bCs/>
                <w:sz w:val="24"/>
              </w:rPr>
            </w:pPr>
            <w:r>
              <w:rPr>
                <w:rFonts w:hint="eastAsia" w:ascii="仿宋_GB2312" w:eastAsia="仿宋_GB2312"/>
                <w:b/>
                <w:bCs/>
                <w:sz w:val="24"/>
              </w:rPr>
              <w:t>任务内容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1</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就业创业提升工程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深化就业创业载体建设，深化东西部就业协作，实施劳务品牌促就业计划，高校毕业生就业创业工程，巩固易地搬迁就业帮扶计划。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2</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技能水平提升工程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重点产业人才培养计划，实施岗位培训行动，技能赛事引领计划，提升培训主体供给工程，实施职业技能提升工程。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3</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社会保险提升工程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社会保险从业人员素质提升，社会保险服务标准化建设，社会保险服务体系建设，社会保险参保扩面提质。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4</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人才队伍提升工程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人才发展体制机制改革，培养乡村振兴建设人才，创新人才引培机制，人才服务体系建设。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5</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劳关和谐提升工程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实施劳动关系“和谐同行”能力提升行动、劳动者劳动权益保障服务提升行动，积极构建和谐劳动关系，切实维护用工单位和职工双方权益。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sz w:val="24"/>
              </w:rPr>
            </w:pPr>
            <w:r>
              <w:rPr>
                <w:rFonts w:hint="eastAsia" w:ascii="仿宋_GB2312" w:eastAsia="仿宋_GB2312"/>
                <w:sz w:val="24"/>
              </w:rPr>
              <w:t>6</w:t>
            </w:r>
          </w:p>
        </w:tc>
        <w:tc>
          <w:tcPr>
            <w:tcW w:w="2312"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_GB2312" w:eastAsia="仿宋_GB2312"/>
                <w:sz w:val="24"/>
              </w:rPr>
            </w:pPr>
            <w:r>
              <w:rPr>
                <w:rFonts w:hint="eastAsia" w:ascii="仿宋_GB2312" w:eastAsia="仿宋_GB2312"/>
                <w:sz w:val="24"/>
              </w:rPr>
              <w:t>服务能力提升工程</w:t>
            </w:r>
          </w:p>
        </w:tc>
        <w:tc>
          <w:tcPr>
            <w:tcW w:w="15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hint="default" w:ascii="Times New Roman" w:hAnsi="Times New Roman" w:eastAsia="仿宋_GB2312" w:cs="Times New Roman"/>
                <w:sz w:val="24"/>
              </w:rPr>
            </w:pPr>
            <w:r>
              <w:rPr>
                <w:rFonts w:hint="default" w:ascii="Times New Roman" w:hAnsi="Times New Roman" w:eastAsia="仿宋_GB2312" w:cs="Times New Roman"/>
                <w:sz w:val="24"/>
              </w:rPr>
              <w:t>2021-2025</w:t>
            </w:r>
          </w:p>
        </w:tc>
        <w:tc>
          <w:tcPr>
            <w:tcW w:w="9715" w:type="dxa"/>
            <w:tcBorders>
              <w:top w:val="single" w:color="auto" w:sz="4" w:space="0"/>
              <w:left w:val="single" w:color="auto" w:sz="4" w:space="0"/>
              <w:bottom w:val="single" w:color="auto" w:sz="4" w:space="0"/>
              <w:right w:val="single" w:color="auto" w:sz="4" w:space="0"/>
            </w:tcBorders>
            <w:vAlign w:val="center"/>
          </w:tcPr>
          <w:p>
            <w:pPr>
              <w:snapToGrid w:val="0"/>
              <w:jc w:val="left"/>
              <w:textAlignment w:val="baseline"/>
              <w:rPr>
                <w:rFonts w:ascii="仿宋_GB2312" w:eastAsia="仿宋_GB2312"/>
                <w:sz w:val="24"/>
              </w:rPr>
            </w:pPr>
            <w:r>
              <w:rPr>
                <w:rFonts w:hint="eastAsia" w:ascii="仿宋_GB2312" w:eastAsia="仿宋_GB2312"/>
                <w:sz w:val="24"/>
              </w:rPr>
              <w:t>人力资源社会保障综合服务平台建设，经办服务水平培训</w:t>
            </w:r>
          </w:p>
        </w:tc>
      </w:tr>
    </w:tbl>
    <w:p>
      <w:pPr>
        <w:snapToGrid w:val="0"/>
        <w:spacing w:line="360" w:lineRule="auto"/>
        <w:textAlignment w:val="baseline"/>
        <w:rPr>
          <w:rFonts w:eastAsia="宋体"/>
          <w:sz w:val="20"/>
        </w:rPr>
      </w:pPr>
    </w:p>
    <w:p>
      <w:pPr>
        <w:snapToGrid w:val="0"/>
        <w:textAlignment w:val="baseline"/>
        <w:rPr>
          <w:sz w:val="20"/>
        </w:rPr>
      </w:pPr>
    </w:p>
    <w:sectPr>
      <w:pgSz w:w="16838" w:h="11905" w:orient="landscape"/>
      <w:pgMar w:top="1587" w:right="1814" w:bottom="1587" w:left="1701" w:header="720" w:footer="720"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33330741"/>
                          </w:sdtPr>
                          <w:sdtEndPr>
                            <w:rPr>
                              <w:rFonts w:ascii="宋体" w:hAnsi="宋体" w:eastAsia="宋体"/>
                              <w:sz w:val="28"/>
                              <w:szCs w:val="28"/>
                            </w:rPr>
                          </w:sdtEndPr>
                          <w:sdtContent>
                            <w:p>
                              <w:pPr>
                                <w:pStyle w:val="1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29 -</w:t>
                              </w:r>
                              <w:r>
                                <w:rPr>
                                  <w:rFonts w:ascii="宋体" w:hAnsi="宋体" w:eastAsia="宋体"/>
                                  <w:sz w:val="28"/>
                                  <w:szCs w:val="28"/>
                                </w:rPr>
                                <w:fldChar w:fldCharType="end"/>
                              </w:r>
                            </w:p>
                          </w:sdtContent>
                        </w:sdt>
                        <w:p>
                          <w:pPr>
                            <w:rPr>
                              <w:rFonts w:ascii="宋体" w:hAnsi="宋体" w:eastAsia="宋体"/>
                              <w:sz w:val="28"/>
                              <w:szCs w:val="28"/>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sdt>
                    <w:sdtPr>
                      <w:id w:val="33330741"/>
                    </w:sdtPr>
                    <w:sdtEndPr>
                      <w:rPr>
                        <w:rFonts w:ascii="宋体" w:hAnsi="宋体" w:eastAsia="宋体"/>
                        <w:sz w:val="28"/>
                        <w:szCs w:val="28"/>
                      </w:rPr>
                    </w:sdtEndPr>
                    <w:sdtContent>
                      <w:p>
                        <w:pPr>
                          <w:pStyle w:val="1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29 -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C5BF"/>
    <w:multiLevelType w:val="singleLevel"/>
    <w:tmpl w:val="8749C5BF"/>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HorizontalSpacing w:val="210"/>
  <w:drawingGridVerticalSpacing w:val="-794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BE"/>
    <w:rsid w:val="00001605"/>
    <w:rsid w:val="00012F1D"/>
    <w:rsid w:val="0001363E"/>
    <w:rsid w:val="00014B8C"/>
    <w:rsid w:val="000156EF"/>
    <w:rsid w:val="00021F72"/>
    <w:rsid w:val="00024B70"/>
    <w:rsid w:val="00031A5B"/>
    <w:rsid w:val="00033369"/>
    <w:rsid w:val="000355C5"/>
    <w:rsid w:val="00037BA3"/>
    <w:rsid w:val="00040A40"/>
    <w:rsid w:val="00040EAF"/>
    <w:rsid w:val="00055D29"/>
    <w:rsid w:val="00057F1D"/>
    <w:rsid w:val="00061EF7"/>
    <w:rsid w:val="00073500"/>
    <w:rsid w:val="00077F34"/>
    <w:rsid w:val="00082B62"/>
    <w:rsid w:val="00086646"/>
    <w:rsid w:val="00092D8B"/>
    <w:rsid w:val="00093C91"/>
    <w:rsid w:val="00097B50"/>
    <w:rsid w:val="000B76FB"/>
    <w:rsid w:val="000B783D"/>
    <w:rsid w:val="000C3019"/>
    <w:rsid w:val="000C57E1"/>
    <w:rsid w:val="000D42B2"/>
    <w:rsid w:val="000D6EB6"/>
    <w:rsid w:val="000D702D"/>
    <w:rsid w:val="000E0233"/>
    <w:rsid w:val="000E20D3"/>
    <w:rsid w:val="000E4A4C"/>
    <w:rsid w:val="000F1A37"/>
    <w:rsid w:val="000F5250"/>
    <w:rsid w:val="000F6861"/>
    <w:rsid w:val="000F6A4D"/>
    <w:rsid w:val="00103EFF"/>
    <w:rsid w:val="00120B95"/>
    <w:rsid w:val="00121466"/>
    <w:rsid w:val="00124BA9"/>
    <w:rsid w:val="00131485"/>
    <w:rsid w:val="0013590B"/>
    <w:rsid w:val="001479DC"/>
    <w:rsid w:val="00150128"/>
    <w:rsid w:val="001513C9"/>
    <w:rsid w:val="00154B4F"/>
    <w:rsid w:val="00162EC0"/>
    <w:rsid w:val="00163B8E"/>
    <w:rsid w:val="001741A6"/>
    <w:rsid w:val="001748A2"/>
    <w:rsid w:val="00176EED"/>
    <w:rsid w:val="00177DE2"/>
    <w:rsid w:val="00186A1F"/>
    <w:rsid w:val="00197490"/>
    <w:rsid w:val="001A0BA2"/>
    <w:rsid w:val="001A28A7"/>
    <w:rsid w:val="001A309E"/>
    <w:rsid w:val="001A32E4"/>
    <w:rsid w:val="001A482C"/>
    <w:rsid w:val="001A50EC"/>
    <w:rsid w:val="001A66AD"/>
    <w:rsid w:val="001A7837"/>
    <w:rsid w:val="001B3C5A"/>
    <w:rsid w:val="001B4663"/>
    <w:rsid w:val="001B5C3E"/>
    <w:rsid w:val="001C04E7"/>
    <w:rsid w:val="001C108E"/>
    <w:rsid w:val="001C7CF3"/>
    <w:rsid w:val="001D08D3"/>
    <w:rsid w:val="001D1B39"/>
    <w:rsid w:val="001D7E31"/>
    <w:rsid w:val="001F030D"/>
    <w:rsid w:val="001F5239"/>
    <w:rsid w:val="001F6FF5"/>
    <w:rsid w:val="002010BC"/>
    <w:rsid w:val="00205145"/>
    <w:rsid w:val="00207472"/>
    <w:rsid w:val="002077B9"/>
    <w:rsid w:val="0021060A"/>
    <w:rsid w:val="00211DC8"/>
    <w:rsid w:val="002136F6"/>
    <w:rsid w:val="00213835"/>
    <w:rsid w:val="002151CD"/>
    <w:rsid w:val="002201DC"/>
    <w:rsid w:val="00224486"/>
    <w:rsid w:val="002257BA"/>
    <w:rsid w:val="00236AB1"/>
    <w:rsid w:val="002377C8"/>
    <w:rsid w:val="00242A14"/>
    <w:rsid w:val="002432A6"/>
    <w:rsid w:val="00251753"/>
    <w:rsid w:val="00251E0D"/>
    <w:rsid w:val="00254AD4"/>
    <w:rsid w:val="002617BF"/>
    <w:rsid w:val="00262602"/>
    <w:rsid w:val="002657E2"/>
    <w:rsid w:val="002779FC"/>
    <w:rsid w:val="002814FD"/>
    <w:rsid w:val="00281DCF"/>
    <w:rsid w:val="0029098C"/>
    <w:rsid w:val="00292833"/>
    <w:rsid w:val="0029686D"/>
    <w:rsid w:val="00296AB9"/>
    <w:rsid w:val="002A14C7"/>
    <w:rsid w:val="002A7510"/>
    <w:rsid w:val="002B167A"/>
    <w:rsid w:val="002B5B3A"/>
    <w:rsid w:val="002C3AA9"/>
    <w:rsid w:val="002C4243"/>
    <w:rsid w:val="002D2B1D"/>
    <w:rsid w:val="002E1384"/>
    <w:rsid w:val="002E3D96"/>
    <w:rsid w:val="002E5048"/>
    <w:rsid w:val="002E5EA8"/>
    <w:rsid w:val="002E6FC1"/>
    <w:rsid w:val="002F2754"/>
    <w:rsid w:val="002F34F4"/>
    <w:rsid w:val="002F6F03"/>
    <w:rsid w:val="0030208B"/>
    <w:rsid w:val="00302AF3"/>
    <w:rsid w:val="0030325C"/>
    <w:rsid w:val="00305199"/>
    <w:rsid w:val="00311101"/>
    <w:rsid w:val="003135CA"/>
    <w:rsid w:val="003148CE"/>
    <w:rsid w:val="00316350"/>
    <w:rsid w:val="00317FC7"/>
    <w:rsid w:val="003207AB"/>
    <w:rsid w:val="00322C5A"/>
    <w:rsid w:val="00322C66"/>
    <w:rsid w:val="00326074"/>
    <w:rsid w:val="00333359"/>
    <w:rsid w:val="00347B8C"/>
    <w:rsid w:val="0035675F"/>
    <w:rsid w:val="003774AE"/>
    <w:rsid w:val="0038283E"/>
    <w:rsid w:val="0038464F"/>
    <w:rsid w:val="00387694"/>
    <w:rsid w:val="0039155C"/>
    <w:rsid w:val="00392AE4"/>
    <w:rsid w:val="00395221"/>
    <w:rsid w:val="00396E9C"/>
    <w:rsid w:val="003B341F"/>
    <w:rsid w:val="003B3BE2"/>
    <w:rsid w:val="003C2EE5"/>
    <w:rsid w:val="003C35FD"/>
    <w:rsid w:val="003C6165"/>
    <w:rsid w:val="003C7ABB"/>
    <w:rsid w:val="003E34BC"/>
    <w:rsid w:val="003E68F7"/>
    <w:rsid w:val="003F0663"/>
    <w:rsid w:val="003F117E"/>
    <w:rsid w:val="003F243D"/>
    <w:rsid w:val="003F3819"/>
    <w:rsid w:val="003F3D13"/>
    <w:rsid w:val="00403C9A"/>
    <w:rsid w:val="004056B1"/>
    <w:rsid w:val="00407583"/>
    <w:rsid w:val="00411B49"/>
    <w:rsid w:val="004140A7"/>
    <w:rsid w:val="0041461C"/>
    <w:rsid w:val="00414DCA"/>
    <w:rsid w:val="00416B1B"/>
    <w:rsid w:val="00421220"/>
    <w:rsid w:val="00423EF9"/>
    <w:rsid w:val="004244E4"/>
    <w:rsid w:val="00426A98"/>
    <w:rsid w:val="00430FA4"/>
    <w:rsid w:val="00431E86"/>
    <w:rsid w:val="00433730"/>
    <w:rsid w:val="00434041"/>
    <w:rsid w:val="00441E1D"/>
    <w:rsid w:val="00447E5B"/>
    <w:rsid w:val="004637CB"/>
    <w:rsid w:val="00470378"/>
    <w:rsid w:val="0048726D"/>
    <w:rsid w:val="00490EE9"/>
    <w:rsid w:val="00492355"/>
    <w:rsid w:val="00492E17"/>
    <w:rsid w:val="0049491B"/>
    <w:rsid w:val="004958FB"/>
    <w:rsid w:val="00495A6B"/>
    <w:rsid w:val="00496B5D"/>
    <w:rsid w:val="004A24FD"/>
    <w:rsid w:val="004A260A"/>
    <w:rsid w:val="004A5164"/>
    <w:rsid w:val="004B3858"/>
    <w:rsid w:val="004B73B9"/>
    <w:rsid w:val="004C118C"/>
    <w:rsid w:val="004C4386"/>
    <w:rsid w:val="004C6476"/>
    <w:rsid w:val="004D5E9A"/>
    <w:rsid w:val="004D73C3"/>
    <w:rsid w:val="004D7F80"/>
    <w:rsid w:val="004E2144"/>
    <w:rsid w:val="004E310D"/>
    <w:rsid w:val="004F43B4"/>
    <w:rsid w:val="0050520F"/>
    <w:rsid w:val="00505728"/>
    <w:rsid w:val="005064F7"/>
    <w:rsid w:val="00507802"/>
    <w:rsid w:val="005103B3"/>
    <w:rsid w:val="00510EA4"/>
    <w:rsid w:val="005125DD"/>
    <w:rsid w:val="0051525C"/>
    <w:rsid w:val="00523EF9"/>
    <w:rsid w:val="005308BC"/>
    <w:rsid w:val="005515A0"/>
    <w:rsid w:val="00552337"/>
    <w:rsid w:val="005553F8"/>
    <w:rsid w:val="00563B89"/>
    <w:rsid w:val="00564B4A"/>
    <w:rsid w:val="00565B52"/>
    <w:rsid w:val="005708D8"/>
    <w:rsid w:val="00572226"/>
    <w:rsid w:val="005759EA"/>
    <w:rsid w:val="00577509"/>
    <w:rsid w:val="005840A6"/>
    <w:rsid w:val="00586B24"/>
    <w:rsid w:val="00590E92"/>
    <w:rsid w:val="005939D5"/>
    <w:rsid w:val="00597453"/>
    <w:rsid w:val="005A0915"/>
    <w:rsid w:val="005A4248"/>
    <w:rsid w:val="005B3D52"/>
    <w:rsid w:val="005B775F"/>
    <w:rsid w:val="005C1052"/>
    <w:rsid w:val="005C27BD"/>
    <w:rsid w:val="005C371C"/>
    <w:rsid w:val="005C65A1"/>
    <w:rsid w:val="005C7E66"/>
    <w:rsid w:val="005D37CD"/>
    <w:rsid w:val="005D40F2"/>
    <w:rsid w:val="005D451B"/>
    <w:rsid w:val="005D7322"/>
    <w:rsid w:val="005E1541"/>
    <w:rsid w:val="005E4A8E"/>
    <w:rsid w:val="005E52CA"/>
    <w:rsid w:val="005E6F02"/>
    <w:rsid w:val="005F1F77"/>
    <w:rsid w:val="005F4D25"/>
    <w:rsid w:val="005F6692"/>
    <w:rsid w:val="00615556"/>
    <w:rsid w:val="006213E9"/>
    <w:rsid w:val="00622BA0"/>
    <w:rsid w:val="0062657D"/>
    <w:rsid w:val="00630F38"/>
    <w:rsid w:val="00634A83"/>
    <w:rsid w:val="00635A7C"/>
    <w:rsid w:val="00641A96"/>
    <w:rsid w:val="00641E1E"/>
    <w:rsid w:val="00654E3E"/>
    <w:rsid w:val="00656C88"/>
    <w:rsid w:val="00657332"/>
    <w:rsid w:val="006602E6"/>
    <w:rsid w:val="006825CB"/>
    <w:rsid w:val="00686E6E"/>
    <w:rsid w:val="00693473"/>
    <w:rsid w:val="00693599"/>
    <w:rsid w:val="00694FFE"/>
    <w:rsid w:val="006A0EBA"/>
    <w:rsid w:val="006A3B17"/>
    <w:rsid w:val="006A5494"/>
    <w:rsid w:val="006B2DBE"/>
    <w:rsid w:val="006C0AA9"/>
    <w:rsid w:val="006C0FE7"/>
    <w:rsid w:val="006C4D5B"/>
    <w:rsid w:val="006D0011"/>
    <w:rsid w:val="006E35F7"/>
    <w:rsid w:val="006F04A6"/>
    <w:rsid w:val="006F68FD"/>
    <w:rsid w:val="006F6C96"/>
    <w:rsid w:val="006F7A0B"/>
    <w:rsid w:val="007037CA"/>
    <w:rsid w:val="0070421F"/>
    <w:rsid w:val="00704A0D"/>
    <w:rsid w:val="00711EF7"/>
    <w:rsid w:val="00714E2C"/>
    <w:rsid w:val="0072583A"/>
    <w:rsid w:val="0072692A"/>
    <w:rsid w:val="007400EF"/>
    <w:rsid w:val="00743FBE"/>
    <w:rsid w:val="00744B71"/>
    <w:rsid w:val="00744BEC"/>
    <w:rsid w:val="00745293"/>
    <w:rsid w:val="007502E8"/>
    <w:rsid w:val="00750E60"/>
    <w:rsid w:val="00750EC9"/>
    <w:rsid w:val="00753912"/>
    <w:rsid w:val="0075492C"/>
    <w:rsid w:val="00756EC6"/>
    <w:rsid w:val="00760432"/>
    <w:rsid w:val="00761397"/>
    <w:rsid w:val="00762A98"/>
    <w:rsid w:val="00763F82"/>
    <w:rsid w:val="00771440"/>
    <w:rsid w:val="00772426"/>
    <w:rsid w:val="0077428E"/>
    <w:rsid w:val="00776630"/>
    <w:rsid w:val="0077716D"/>
    <w:rsid w:val="00777DEF"/>
    <w:rsid w:val="00777E29"/>
    <w:rsid w:val="0078577A"/>
    <w:rsid w:val="00786F10"/>
    <w:rsid w:val="00787ACE"/>
    <w:rsid w:val="00790CFD"/>
    <w:rsid w:val="00796621"/>
    <w:rsid w:val="007A331A"/>
    <w:rsid w:val="007C1786"/>
    <w:rsid w:val="007C236E"/>
    <w:rsid w:val="007C4A14"/>
    <w:rsid w:val="007C6FD0"/>
    <w:rsid w:val="007D2044"/>
    <w:rsid w:val="007E011E"/>
    <w:rsid w:val="007E0B01"/>
    <w:rsid w:val="007E32AA"/>
    <w:rsid w:val="007E3E7A"/>
    <w:rsid w:val="007E63D9"/>
    <w:rsid w:val="007F1465"/>
    <w:rsid w:val="007F2D44"/>
    <w:rsid w:val="007F2DD3"/>
    <w:rsid w:val="007F3AE7"/>
    <w:rsid w:val="007F6823"/>
    <w:rsid w:val="008026F6"/>
    <w:rsid w:val="00802F4B"/>
    <w:rsid w:val="008039F4"/>
    <w:rsid w:val="00803C74"/>
    <w:rsid w:val="00804022"/>
    <w:rsid w:val="0080419E"/>
    <w:rsid w:val="00813751"/>
    <w:rsid w:val="00817C4F"/>
    <w:rsid w:val="00822583"/>
    <w:rsid w:val="00826611"/>
    <w:rsid w:val="0082798C"/>
    <w:rsid w:val="00841606"/>
    <w:rsid w:val="008422C9"/>
    <w:rsid w:val="008426A7"/>
    <w:rsid w:val="00847ADC"/>
    <w:rsid w:val="008552A3"/>
    <w:rsid w:val="0085565B"/>
    <w:rsid w:val="00863309"/>
    <w:rsid w:val="00863573"/>
    <w:rsid w:val="00863C30"/>
    <w:rsid w:val="00865961"/>
    <w:rsid w:val="00866BE2"/>
    <w:rsid w:val="008724FC"/>
    <w:rsid w:val="00875D37"/>
    <w:rsid w:val="00880FEE"/>
    <w:rsid w:val="00881A0D"/>
    <w:rsid w:val="0088409C"/>
    <w:rsid w:val="00891532"/>
    <w:rsid w:val="00892144"/>
    <w:rsid w:val="008966D6"/>
    <w:rsid w:val="00897BDE"/>
    <w:rsid w:val="008A3D5C"/>
    <w:rsid w:val="008A644E"/>
    <w:rsid w:val="008B09EB"/>
    <w:rsid w:val="008B1450"/>
    <w:rsid w:val="008B3530"/>
    <w:rsid w:val="008B699D"/>
    <w:rsid w:val="008B7F0C"/>
    <w:rsid w:val="008C270C"/>
    <w:rsid w:val="008C544F"/>
    <w:rsid w:val="008C5F6D"/>
    <w:rsid w:val="008D4B93"/>
    <w:rsid w:val="008D758C"/>
    <w:rsid w:val="008D784F"/>
    <w:rsid w:val="008E49A7"/>
    <w:rsid w:val="008E69A6"/>
    <w:rsid w:val="008F56BB"/>
    <w:rsid w:val="009001BE"/>
    <w:rsid w:val="00904093"/>
    <w:rsid w:val="00904B9F"/>
    <w:rsid w:val="00906465"/>
    <w:rsid w:val="009068FB"/>
    <w:rsid w:val="00906D4B"/>
    <w:rsid w:val="0091219F"/>
    <w:rsid w:val="00915A62"/>
    <w:rsid w:val="00916997"/>
    <w:rsid w:val="00923104"/>
    <w:rsid w:val="00927577"/>
    <w:rsid w:val="009312E9"/>
    <w:rsid w:val="009316CD"/>
    <w:rsid w:val="00931917"/>
    <w:rsid w:val="00931ECB"/>
    <w:rsid w:val="0093614B"/>
    <w:rsid w:val="00940235"/>
    <w:rsid w:val="00940746"/>
    <w:rsid w:val="00940759"/>
    <w:rsid w:val="00941197"/>
    <w:rsid w:val="00946A40"/>
    <w:rsid w:val="00956028"/>
    <w:rsid w:val="0096242C"/>
    <w:rsid w:val="009650E1"/>
    <w:rsid w:val="00967682"/>
    <w:rsid w:val="00970DC8"/>
    <w:rsid w:val="00970E0C"/>
    <w:rsid w:val="00976BE4"/>
    <w:rsid w:val="00993DE7"/>
    <w:rsid w:val="00996B2E"/>
    <w:rsid w:val="009A291E"/>
    <w:rsid w:val="009A66EA"/>
    <w:rsid w:val="009B51E6"/>
    <w:rsid w:val="009C1FE8"/>
    <w:rsid w:val="009D0C62"/>
    <w:rsid w:val="009D1D3B"/>
    <w:rsid w:val="009D26C0"/>
    <w:rsid w:val="009E17CE"/>
    <w:rsid w:val="009E6558"/>
    <w:rsid w:val="009F252B"/>
    <w:rsid w:val="00A040F7"/>
    <w:rsid w:val="00A048C1"/>
    <w:rsid w:val="00A04F1F"/>
    <w:rsid w:val="00A05E5B"/>
    <w:rsid w:val="00A215BB"/>
    <w:rsid w:val="00A271A4"/>
    <w:rsid w:val="00A47EF1"/>
    <w:rsid w:val="00A52AA9"/>
    <w:rsid w:val="00A539C7"/>
    <w:rsid w:val="00A55A5C"/>
    <w:rsid w:val="00A60B33"/>
    <w:rsid w:val="00A635F7"/>
    <w:rsid w:val="00A67409"/>
    <w:rsid w:val="00A705CA"/>
    <w:rsid w:val="00A751CA"/>
    <w:rsid w:val="00A75322"/>
    <w:rsid w:val="00A76B29"/>
    <w:rsid w:val="00A908F7"/>
    <w:rsid w:val="00A934F9"/>
    <w:rsid w:val="00AA0A25"/>
    <w:rsid w:val="00AA7008"/>
    <w:rsid w:val="00AC4ED1"/>
    <w:rsid w:val="00AC614D"/>
    <w:rsid w:val="00AD672C"/>
    <w:rsid w:val="00AE429D"/>
    <w:rsid w:val="00AE7AEF"/>
    <w:rsid w:val="00AF0E8F"/>
    <w:rsid w:val="00AF2450"/>
    <w:rsid w:val="00AF4B19"/>
    <w:rsid w:val="00AF7F07"/>
    <w:rsid w:val="00B01E8A"/>
    <w:rsid w:val="00B074FF"/>
    <w:rsid w:val="00B330AD"/>
    <w:rsid w:val="00B33CB5"/>
    <w:rsid w:val="00B35C0D"/>
    <w:rsid w:val="00B4286A"/>
    <w:rsid w:val="00B43631"/>
    <w:rsid w:val="00B43BDC"/>
    <w:rsid w:val="00B45257"/>
    <w:rsid w:val="00B605E6"/>
    <w:rsid w:val="00B618EA"/>
    <w:rsid w:val="00B62321"/>
    <w:rsid w:val="00B623A1"/>
    <w:rsid w:val="00B63C36"/>
    <w:rsid w:val="00B666AE"/>
    <w:rsid w:val="00B76B8C"/>
    <w:rsid w:val="00B80458"/>
    <w:rsid w:val="00B8052E"/>
    <w:rsid w:val="00B846CA"/>
    <w:rsid w:val="00B860F6"/>
    <w:rsid w:val="00B8651B"/>
    <w:rsid w:val="00BA1D70"/>
    <w:rsid w:val="00BA4002"/>
    <w:rsid w:val="00BA665B"/>
    <w:rsid w:val="00BB01CB"/>
    <w:rsid w:val="00BB417F"/>
    <w:rsid w:val="00BB549C"/>
    <w:rsid w:val="00BB7770"/>
    <w:rsid w:val="00BD4BF1"/>
    <w:rsid w:val="00BD5514"/>
    <w:rsid w:val="00BE0E31"/>
    <w:rsid w:val="00BE7D14"/>
    <w:rsid w:val="00BF2D5B"/>
    <w:rsid w:val="00C0074F"/>
    <w:rsid w:val="00C02368"/>
    <w:rsid w:val="00C053A0"/>
    <w:rsid w:val="00C06336"/>
    <w:rsid w:val="00C10B85"/>
    <w:rsid w:val="00C13290"/>
    <w:rsid w:val="00C217F5"/>
    <w:rsid w:val="00C273CF"/>
    <w:rsid w:val="00C365F5"/>
    <w:rsid w:val="00C37CD1"/>
    <w:rsid w:val="00C54821"/>
    <w:rsid w:val="00C60DA1"/>
    <w:rsid w:val="00C6268A"/>
    <w:rsid w:val="00C62DEE"/>
    <w:rsid w:val="00C636A5"/>
    <w:rsid w:val="00C67097"/>
    <w:rsid w:val="00C70552"/>
    <w:rsid w:val="00C74424"/>
    <w:rsid w:val="00C764FE"/>
    <w:rsid w:val="00C85F27"/>
    <w:rsid w:val="00C95D3F"/>
    <w:rsid w:val="00CA23B9"/>
    <w:rsid w:val="00CA23F3"/>
    <w:rsid w:val="00CA2E06"/>
    <w:rsid w:val="00CA6181"/>
    <w:rsid w:val="00CA6CC1"/>
    <w:rsid w:val="00CB66A3"/>
    <w:rsid w:val="00CB6DBA"/>
    <w:rsid w:val="00CC0898"/>
    <w:rsid w:val="00CC0899"/>
    <w:rsid w:val="00CC60A5"/>
    <w:rsid w:val="00CD4EC1"/>
    <w:rsid w:val="00CE1A3C"/>
    <w:rsid w:val="00CF0617"/>
    <w:rsid w:val="00CF38A4"/>
    <w:rsid w:val="00CF5F52"/>
    <w:rsid w:val="00CF7044"/>
    <w:rsid w:val="00D04090"/>
    <w:rsid w:val="00D11671"/>
    <w:rsid w:val="00D132CD"/>
    <w:rsid w:val="00D137FF"/>
    <w:rsid w:val="00D15FFD"/>
    <w:rsid w:val="00D2276F"/>
    <w:rsid w:val="00D2361B"/>
    <w:rsid w:val="00D23DEC"/>
    <w:rsid w:val="00D251F0"/>
    <w:rsid w:val="00D26212"/>
    <w:rsid w:val="00D26C33"/>
    <w:rsid w:val="00D31029"/>
    <w:rsid w:val="00D31083"/>
    <w:rsid w:val="00D3240B"/>
    <w:rsid w:val="00D377D4"/>
    <w:rsid w:val="00D4064A"/>
    <w:rsid w:val="00D42CC0"/>
    <w:rsid w:val="00D45125"/>
    <w:rsid w:val="00D50006"/>
    <w:rsid w:val="00D61B07"/>
    <w:rsid w:val="00D659ED"/>
    <w:rsid w:val="00D71CE2"/>
    <w:rsid w:val="00D80147"/>
    <w:rsid w:val="00D82EF6"/>
    <w:rsid w:val="00D84F74"/>
    <w:rsid w:val="00D878BE"/>
    <w:rsid w:val="00D91975"/>
    <w:rsid w:val="00D97C4C"/>
    <w:rsid w:val="00DA3683"/>
    <w:rsid w:val="00DB1102"/>
    <w:rsid w:val="00DB6E81"/>
    <w:rsid w:val="00DB7704"/>
    <w:rsid w:val="00DD2536"/>
    <w:rsid w:val="00DD6E19"/>
    <w:rsid w:val="00DE19AB"/>
    <w:rsid w:val="00DE1C19"/>
    <w:rsid w:val="00DE46A3"/>
    <w:rsid w:val="00DE68CC"/>
    <w:rsid w:val="00DF5B18"/>
    <w:rsid w:val="00DF6704"/>
    <w:rsid w:val="00E03A41"/>
    <w:rsid w:val="00E05A50"/>
    <w:rsid w:val="00E10688"/>
    <w:rsid w:val="00E10A23"/>
    <w:rsid w:val="00E20E8B"/>
    <w:rsid w:val="00E21273"/>
    <w:rsid w:val="00E2211E"/>
    <w:rsid w:val="00E241F7"/>
    <w:rsid w:val="00E25DEB"/>
    <w:rsid w:val="00E26254"/>
    <w:rsid w:val="00E301EE"/>
    <w:rsid w:val="00E3415B"/>
    <w:rsid w:val="00E464BF"/>
    <w:rsid w:val="00E5150A"/>
    <w:rsid w:val="00E52F5C"/>
    <w:rsid w:val="00E56237"/>
    <w:rsid w:val="00E65AAF"/>
    <w:rsid w:val="00E66F5D"/>
    <w:rsid w:val="00E70F88"/>
    <w:rsid w:val="00E718E8"/>
    <w:rsid w:val="00E71B72"/>
    <w:rsid w:val="00E7663E"/>
    <w:rsid w:val="00E77251"/>
    <w:rsid w:val="00E829F6"/>
    <w:rsid w:val="00E83222"/>
    <w:rsid w:val="00E8523B"/>
    <w:rsid w:val="00E8531F"/>
    <w:rsid w:val="00E918E6"/>
    <w:rsid w:val="00E92345"/>
    <w:rsid w:val="00E93409"/>
    <w:rsid w:val="00EA3DAD"/>
    <w:rsid w:val="00EA3E53"/>
    <w:rsid w:val="00EB3C2F"/>
    <w:rsid w:val="00EB571A"/>
    <w:rsid w:val="00EC22F9"/>
    <w:rsid w:val="00EC3E23"/>
    <w:rsid w:val="00ED0DC9"/>
    <w:rsid w:val="00ED3C48"/>
    <w:rsid w:val="00ED626A"/>
    <w:rsid w:val="00EE1092"/>
    <w:rsid w:val="00EE3AE6"/>
    <w:rsid w:val="00EE3BC2"/>
    <w:rsid w:val="00EF1153"/>
    <w:rsid w:val="00EF1834"/>
    <w:rsid w:val="00F046FA"/>
    <w:rsid w:val="00F0573C"/>
    <w:rsid w:val="00F07D6D"/>
    <w:rsid w:val="00F10535"/>
    <w:rsid w:val="00F13C7E"/>
    <w:rsid w:val="00F21DCA"/>
    <w:rsid w:val="00F23935"/>
    <w:rsid w:val="00F27318"/>
    <w:rsid w:val="00F362DF"/>
    <w:rsid w:val="00F367E3"/>
    <w:rsid w:val="00F43F48"/>
    <w:rsid w:val="00F51043"/>
    <w:rsid w:val="00F5219E"/>
    <w:rsid w:val="00F52D67"/>
    <w:rsid w:val="00F52E27"/>
    <w:rsid w:val="00F5512A"/>
    <w:rsid w:val="00F57597"/>
    <w:rsid w:val="00F665DC"/>
    <w:rsid w:val="00F67232"/>
    <w:rsid w:val="00F77452"/>
    <w:rsid w:val="00F8088D"/>
    <w:rsid w:val="00F850FE"/>
    <w:rsid w:val="00F913D1"/>
    <w:rsid w:val="00F9225F"/>
    <w:rsid w:val="00F9380A"/>
    <w:rsid w:val="00F97B9B"/>
    <w:rsid w:val="00FA44B8"/>
    <w:rsid w:val="00FA4932"/>
    <w:rsid w:val="00FB30B6"/>
    <w:rsid w:val="00FB422C"/>
    <w:rsid w:val="00FB587A"/>
    <w:rsid w:val="00FB7589"/>
    <w:rsid w:val="00FC2117"/>
    <w:rsid w:val="00FC2D92"/>
    <w:rsid w:val="00FC73EF"/>
    <w:rsid w:val="00FD19EC"/>
    <w:rsid w:val="00FD3902"/>
    <w:rsid w:val="00FD3FE1"/>
    <w:rsid w:val="00FE1DCF"/>
    <w:rsid w:val="00FE452A"/>
    <w:rsid w:val="00FE54C1"/>
    <w:rsid w:val="00FE68D3"/>
    <w:rsid w:val="00FE6C64"/>
    <w:rsid w:val="00FF1B2B"/>
    <w:rsid w:val="00FF6FDF"/>
    <w:rsid w:val="078829A5"/>
    <w:rsid w:val="07EE28BA"/>
    <w:rsid w:val="0AD230B7"/>
    <w:rsid w:val="0E0D4C08"/>
    <w:rsid w:val="12771500"/>
    <w:rsid w:val="18397559"/>
    <w:rsid w:val="188E23FA"/>
    <w:rsid w:val="1AC54E1B"/>
    <w:rsid w:val="1EF04A61"/>
    <w:rsid w:val="215C5ED9"/>
    <w:rsid w:val="259555DC"/>
    <w:rsid w:val="26563613"/>
    <w:rsid w:val="26ED7019"/>
    <w:rsid w:val="280E640F"/>
    <w:rsid w:val="28250F08"/>
    <w:rsid w:val="29635E1F"/>
    <w:rsid w:val="2A2C4D9B"/>
    <w:rsid w:val="2C3473EA"/>
    <w:rsid w:val="2E2B5949"/>
    <w:rsid w:val="2E5B3B85"/>
    <w:rsid w:val="30BF4A44"/>
    <w:rsid w:val="323F76A0"/>
    <w:rsid w:val="325C4792"/>
    <w:rsid w:val="33E5130E"/>
    <w:rsid w:val="34234AAD"/>
    <w:rsid w:val="356BFE7E"/>
    <w:rsid w:val="35DD6652"/>
    <w:rsid w:val="3BF6641F"/>
    <w:rsid w:val="3DD2492E"/>
    <w:rsid w:val="3E8E743E"/>
    <w:rsid w:val="3E9655D7"/>
    <w:rsid w:val="3EFF8510"/>
    <w:rsid w:val="43141609"/>
    <w:rsid w:val="441C429A"/>
    <w:rsid w:val="454D7C67"/>
    <w:rsid w:val="49873131"/>
    <w:rsid w:val="4FA87974"/>
    <w:rsid w:val="510E6CBD"/>
    <w:rsid w:val="51F35CE2"/>
    <w:rsid w:val="527809BC"/>
    <w:rsid w:val="52995E35"/>
    <w:rsid w:val="533F1F83"/>
    <w:rsid w:val="538935F8"/>
    <w:rsid w:val="53A61984"/>
    <w:rsid w:val="55F7B94F"/>
    <w:rsid w:val="56BF07EE"/>
    <w:rsid w:val="5842674F"/>
    <w:rsid w:val="59CD6AD5"/>
    <w:rsid w:val="59E20F63"/>
    <w:rsid w:val="5B3420E2"/>
    <w:rsid w:val="5B564A6C"/>
    <w:rsid w:val="5BED0AEC"/>
    <w:rsid w:val="5C447FCE"/>
    <w:rsid w:val="5D3FED5C"/>
    <w:rsid w:val="5E1853BD"/>
    <w:rsid w:val="614E4176"/>
    <w:rsid w:val="62494C9F"/>
    <w:rsid w:val="670168E0"/>
    <w:rsid w:val="68047696"/>
    <w:rsid w:val="69FBF7FE"/>
    <w:rsid w:val="6AF13D4B"/>
    <w:rsid w:val="6BC070AE"/>
    <w:rsid w:val="6C2A20C3"/>
    <w:rsid w:val="6CE92025"/>
    <w:rsid w:val="6DAD5F96"/>
    <w:rsid w:val="6DBB7343"/>
    <w:rsid w:val="6DF44472"/>
    <w:rsid w:val="6EFF2B98"/>
    <w:rsid w:val="71AA371E"/>
    <w:rsid w:val="71F7E511"/>
    <w:rsid w:val="72433329"/>
    <w:rsid w:val="749EC7E2"/>
    <w:rsid w:val="76987786"/>
    <w:rsid w:val="78286114"/>
    <w:rsid w:val="7A578D45"/>
    <w:rsid w:val="7AD7AFE6"/>
    <w:rsid w:val="7AFFACE5"/>
    <w:rsid w:val="7BEC2524"/>
    <w:rsid w:val="7BFFA167"/>
    <w:rsid w:val="7D5F154B"/>
    <w:rsid w:val="7ED727DA"/>
    <w:rsid w:val="7EFFB86C"/>
    <w:rsid w:val="7F6A60D6"/>
    <w:rsid w:val="7F75516B"/>
    <w:rsid w:val="7F9D239E"/>
    <w:rsid w:val="7FBF8981"/>
    <w:rsid w:val="7FED5857"/>
    <w:rsid w:val="8E9F6C59"/>
    <w:rsid w:val="97CF7616"/>
    <w:rsid w:val="9ABF82EF"/>
    <w:rsid w:val="9EFC26FB"/>
    <w:rsid w:val="9FFF879A"/>
    <w:rsid w:val="9FFFA2EA"/>
    <w:rsid w:val="AEFF50CB"/>
    <w:rsid w:val="B5EB6BD0"/>
    <w:rsid w:val="B7B8E2CF"/>
    <w:rsid w:val="BBFB5E02"/>
    <w:rsid w:val="BDEF861D"/>
    <w:rsid w:val="BF255A66"/>
    <w:rsid w:val="BFEFF828"/>
    <w:rsid w:val="BFFBA80E"/>
    <w:rsid w:val="C5974767"/>
    <w:rsid w:val="CBE6CFFA"/>
    <w:rsid w:val="D9FF13C7"/>
    <w:rsid w:val="DDCF8F74"/>
    <w:rsid w:val="DDD7D8CC"/>
    <w:rsid w:val="DDF52AA8"/>
    <w:rsid w:val="DFE7B1DE"/>
    <w:rsid w:val="E3AB0EFD"/>
    <w:rsid w:val="E9F17B20"/>
    <w:rsid w:val="EBF7DE3B"/>
    <w:rsid w:val="EDB5A7D1"/>
    <w:rsid w:val="F366D1B8"/>
    <w:rsid w:val="F3EDCA07"/>
    <w:rsid w:val="F7F9E442"/>
    <w:rsid w:val="FA33F983"/>
    <w:rsid w:val="FA97CF23"/>
    <w:rsid w:val="FBFFA7E6"/>
    <w:rsid w:val="FC581B91"/>
    <w:rsid w:val="FCFD0AB2"/>
    <w:rsid w:val="FD0B664E"/>
    <w:rsid w:val="FDEF7ED3"/>
    <w:rsid w:val="FE68C550"/>
    <w:rsid w:val="FEF31E38"/>
    <w:rsid w:val="FF7F9888"/>
    <w:rsid w:val="FFBB5EFE"/>
    <w:rsid w:val="FFBE33E6"/>
    <w:rsid w:val="FFCF6BEA"/>
    <w:rsid w:val="FFED6774"/>
    <w:rsid w:val="FFF79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Times New Roman" w:cs="Times New Roman"/>
      <w:kern w:val="2"/>
      <w:sz w:val="21"/>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paragraph" w:styleId="4">
    <w:name w:val="heading 2"/>
    <w:basedOn w:val="1"/>
    <w:next w:val="1"/>
    <w:link w:val="33"/>
    <w:unhideWhenUsed/>
    <w:qFormat/>
    <w:uiPriority w:val="0"/>
    <w:pPr>
      <w:keepNext/>
      <w:keepLines/>
      <w:spacing w:before="260" w:after="260" w:line="412" w:lineRule="auto"/>
      <w:outlineLvl w:val="1"/>
    </w:pPr>
    <w:rPr>
      <w:rFonts w:ascii="Arial" w:hAnsi="Arial" w:eastAsia="黑体"/>
      <w:b/>
      <w:sz w:val="32"/>
    </w:rPr>
  </w:style>
  <w:style w:type="paragraph" w:styleId="5">
    <w:name w:val="heading 3"/>
    <w:basedOn w:val="1"/>
    <w:next w:val="1"/>
    <w:link w:val="34"/>
    <w:semiHidden/>
    <w:unhideWhenUsed/>
    <w:qFormat/>
    <w:uiPriority w:val="0"/>
    <w:pPr>
      <w:keepNext/>
      <w:keepLines/>
      <w:spacing w:before="260" w:after="260" w:line="415"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toc 7"/>
    <w:basedOn w:val="1"/>
    <w:next w:val="1"/>
    <w:unhideWhenUsed/>
    <w:qFormat/>
    <w:uiPriority w:val="39"/>
    <w:pPr>
      <w:widowControl w:val="0"/>
      <w:ind w:left="2520" w:leftChars="1200"/>
    </w:pPr>
    <w:rPr>
      <w:rFonts w:asciiTheme="minorHAnsi" w:hAnsiTheme="minorHAnsi" w:eastAsiaTheme="minorEastAsia" w:cstheme="minorBidi"/>
      <w:szCs w:val="22"/>
    </w:rPr>
  </w:style>
  <w:style w:type="paragraph" w:styleId="7">
    <w:name w:val="Normal Indent"/>
    <w:basedOn w:val="1"/>
    <w:semiHidden/>
    <w:unhideWhenUsed/>
    <w:qFormat/>
    <w:uiPriority w:val="99"/>
    <w:pPr>
      <w:widowControl w:val="0"/>
      <w:ind w:firstLine="420"/>
    </w:pPr>
    <w:rPr>
      <w:rFonts w:ascii="Calibri" w:hAnsi="Calibri" w:eastAsia="宋体"/>
    </w:rPr>
  </w:style>
  <w:style w:type="paragraph" w:styleId="8">
    <w:name w:val="Document Map"/>
    <w:basedOn w:val="1"/>
    <w:link w:val="40"/>
    <w:semiHidden/>
    <w:unhideWhenUsed/>
    <w:qFormat/>
    <w:uiPriority w:val="99"/>
    <w:rPr>
      <w:rFonts w:ascii="宋体" w:eastAsia="宋体"/>
      <w:sz w:val="18"/>
      <w:szCs w:val="18"/>
    </w:rPr>
  </w:style>
  <w:style w:type="paragraph" w:styleId="9">
    <w:name w:val="annotation text"/>
    <w:basedOn w:val="1"/>
    <w:link w:val="35"/>
    <w:semiHidden/>
    <w:unhideWhenUsed/>
    <w:qFormat/>
    <w:uiPriority w:val="99"/>
    <w:pPr>
      <w:jc w:val="left"/>
    </w:pPr>
  </w:style>
  <w:style w:type="paragraph" w:styleId="10">
    <w:name w:val="Body Text"/>
    <w:basedOn w:val="1"/>
    <w:link w:val="39"/>
    <w:semiHidden/>
    <w:unhideWhenUsed/>
    <w:qFormat/>
    <w:uiPriority w:val="99"/>
    <w:pPr>
      <w:spacing w:after="120"/>
    </w:pPr>
  </w:style>
  <w:style w:type="paragraph" w:styleId="11">
    <w:name w:val="toc 5"/>
    <w:basedOn w:val="1"/>
    <w:next w:val="1"/>
    <w:unhideWhenUsed/>
    <w:qFormat/>
    <w:uiPriority w:val="39"/>
    <w:pPr>
      <w:widowControl w:val="0"/>
      <w:ind w:left="1680" w:leftChars="800"/>
    </w:pPr>
    <w:rPr>
      <w:rFonts w:asciiTheme="minorHAnsi" w:hAnsiTheme="minorHAnsi" w:eastAsiaTheme="minorEastAsia" w:cstheme="minorBidi"/>
      <w:szCs w:val="22"/>
    </w:rPr>
  </w:style>
  <w:style w:type="paragraph" w:styleId="12">
    <w:name w:val="toc 3"/>
    <w:basedOn w:val="1"/>
    <w:next w:val="1"/>
    <w:unhideWhenUsed/>
    <w:qFormat/>
    <w:uiPriority w:val="39"/>
    <w:pPr>
      <w:widowControl w:val="0"/>
      <w:ind w:left="840" w:leftChars="400"/>
    </w:pPr>
    <w:rPr>
      <w:rFonts w:asciiTheme="minorHAnsi" w:hAnsiTheme="minorHAnsi" w:eastAsiaTheme="minorEastAsia" w:cstheme="minorBidi"/>
      <w:szCs w:val="22"/>
    </w:rPr>
  </w:style>
  <w:style w:type="paragraph" w:styleId="13">
    <w:name w:val="toc 8"/>
    <w:basedOn w:val="1"/>
    <w:next w:val="1"/>
    <w:unhideWhenUsed/>
    <w:qFormat/>
    <w:uiPriority w:val="39"/>
    <w:pPr>
      <w:widowControl w:val="0"/>
      <w:ind w:left="2940" w:leftChars="1400"/>
    </w:pPr>
    <w:rPr>
      <w:rFonts w:asciiTheme="minorHAnsi" w:hAnsiTheme="minorHAnsi" w:eastAsiaTheme="minorEastAsia" w:cstheme="minorBidi"/>
      <w:szCs w:val="22"/>
    </w:rPr>
  </w:style>
  <w:style w:type="paragraph" w:styleId="14">
    <w:name w:val="Balloon Text"/>
    <w:basedOn w:val="1"/>
    <w:link w:val="42"/>
    <w:semiHidden/>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widowControl w:val="0"/>
      <w:ind w:left="1260" w:leftChars="600"/>
    </w:pPr>
    <w:rPr>
      <w:rFonts w:asciiTheme="minorHAnsi" w:hAnsiTheme="minorHAnsi" w:eastAsiaTheme="minorEastAsia" w:cstheme="minorBidi"/>
      <w:szCs w:val="22"/>
    </w:rPr>
  </w:style>
  <w:style w:type="paragraph" w:styleId="19">
    <w:name w:val="toc 6"/>
    <w:basedOn w:val="1"/>
    <w:next w:val="1"/>
    <w:unhideWhenUsed/>
    <w:qFormat/>
    <w:uiPriority w:val="39"/>
    <w:pPr>
      <w:widowControl w:val="0"/>
      <w:ind w:left="2100" w:leftChars="1000"/>
    </w:pPr>
    <w:rPr>
      <w:rFonts w:asciiTheme="minorHAnsi" w:hAnsiTheme="minorHAnsi" w:eastAsiaTheme="minorEastAsia" w:cstheme="minorBidi"/>
      <w:szCs w:val="22"/>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widowControl w:val="0"/>
      <w:ind w:left="3360" w:leftChars="1600"/>
    </w:pPr>
    <w:rPr>
      <w:rFonts w:asciiTheme="minorHAnsi" w:hAnsiTheme="minorHAnsi" w:eastAsiaTheme="minorEastAsia" w:cstheme="minorBidi"/>
      <w:szCs w:val="22"/>
    </w:rPr>
  </w:style>
  <w:style w:type="paragraph" w:styleId="22">
    <w:name w:val="Normal (Web)"/>
    <w:basedOn w:val="1"/>
    <w:semiHidden/>
    <w:unhideWhenUsed/>
    <w:qFormat/>
    <w:uiPriority w:val="99"/>
    <w:pPr>
      <w:spacing w:before="100" w:beforeAutospacing="1" w:after="100" w:afterAutospacing="1"/>
      <w:jc w:val="left"/>
    </w:pPr>
    <w:rPr>
      <w:rFonts w:ascii="宋体" w:hAnsi="宋体" w:eastAsia="宋体" w:cs="宋体"/>
      <w:kern w:val="0"/>
      <w:sz w:val="24"/>
    </w:rPr>
  </w:style>
  <w:style w:type="paragraph" w:styleId="23">
    <w:name w:val="Title"/>
    <w:basedOn w:val="1"/>
    <w:next w:val="1"/>
    <w:link w:val="38"/>
    <w:qFormat/>
    <w:uiPriority w:val="10"/>
    <w:pPr>
      <w:spacing w:before="240" w:after="60"/>
      <w:jc w:val="center"/>
      <w:outlineLvl w:val="0"/>
    </w:pPr>
    <w:rPr>
      <w:rFonts w:eastAsia="宋体" w:asciiTheme="majorHAnsi" w:hAnsiTheme="majorHAnsi" w:cstheme="majorBidi"/>
      <w:b/>
      <w:bCs/>
      <w:sz w:val="32"/>
      <w:szCs w:val="32"/>
    </w:rPr>
  </w:style>
  <w:style w:type="paragraph" w:styleId="24">
    <w:name w:val="annotation subject"/>
    <w:basedOn w:val="9"/>
    <w:next w:val="9"/>
    <w:link w:val="41"/>
    <w:semiHidden/>
    <w:unhideWhenUsed/>
    <w:qFormat/>
    <w:uiPriority w:val="99"/>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character" w:customStyle="1" w:styleId="32">
    <w:name w:val="标题 1 Char"/>
    <w:basedOn w:val="27"/>
    <w:link w:val="3"/>
    <w:qFormat/>
    <w:uiPriority w:val="0"/>
    <w:rPr>
      <w:rFonts w:ascii="Times New Roman" w:hAnsi="Times New Roman" w:eastAsia="Times New Roman" w:cs="Times New Roman"/>
      <w:b/>
      <w:kern w:val="44"/>
      <w:sz w:val="44"/>
      <w:szCs w:val="20"/>
    </w:rPr>
  </w:style>
  <w:style w:type="character" w:customStyle="1" w:styleId="33">
    <w:name w:val="标题 2 Char"/>
    <w:basedOn w:val="27"/>
    <w:link w:val="4"/>
    <w:qFormat/>
    <w:uiPriority w:val="0"/>
    <w:rPr>
      <w:rFonts w:ascii="Arial" w:hAnsi="Arial" w:eastAsia="黑体" w:cs="Times New Roman"/>
      <w:b/>
      <w:sz w:val="32"/>
      <w:szCs w:val="20"/>
    </w:rPr>
  </w:style>
  <w:style w:type="character" w:customStyle="1" w:styleId="34">
    <w:name w:val="标题 3 Char"/>
    <w:basedOn w:val="27"/>
    <w:link w:val="5"/>
    <w:semiHidden/>
    <w:qFormat/>
    <w:uiPriority w:val="0"/>
    <w:rPr>
      <w:rFonts w:ascii="Times New Roman" w:hAnsi="Times New Roman" w:eastAsia="Times New Roman" w:cs="Times New Roman"/>
      <w:b/>
      <w:bCs/>
      <w:sz w:val="32"/>
      <w:szCs w:val="32"/>
    </w:rPr>
  </w:style>
  <w:style w:type="character" w:customStyle="1" w:styleId="35">
    <w:name w:val="批注文字 Char"/>
    <w:basedOn w:val="27"/>
    <w:link w:val="9"/>
    <w:semiHidden/>
    <w:qFormat/>
    <w:uiPriority w:val="99"/>
    <w:rPr>
      <w:rFonts w:ascii="Times New Roman" w:hAnsi="Times New Roman" w:eastAsia="Times New Roman" w:cs="Times New Roman"/>
      <w:szCs w:val="20"/>
    </w:rPr>
  </w:style>
  <w:style w:type="character" w:customStyle="1" w:styleId="36">
    <w:name w:val="页眉 Char"/>
    <w:basedOn w:val="27"/>
    <w:link w:val="16"/>
    <w:qFormat/>
    <w:uiPriority w:val="99"/>
    <w:rPr>
      <w:rFonts w:ascii="Times New Roman" w:hAnsi="Times New Roman" w:eastAsia="Times New Roman" w:cs="Times New Roman"/>
      <w:sz w:val="18"/>
      <w:szCs w:val="18"/>
    </w:rPr>
  </w:style>
  <w:style w:type="character" w:customStyle="1" w:styleId="37">
    <w:name w:val="页脚 Char"/>
    <w:basedOn w:val="27"/>
    <w:link w:val="15"/>
    <w:qFormat/>
    <w:uiPriority w:val="99"/>
    <w:rPr>
      <w:rFonts w:ascii="Times New Roman" w:hAnsi="Times New Roman" w:eastAsia="Times New Roman" w:cs="Times New Roman"/>
      <w:sz w:val="18"/>
      <w:szCs w:val="18"/>
    </w:rPr>
  </w:style>
  <w:style w:type="character" w:customStyle="1" w:styleId="38">
    <w:name w:val="标题 Char"/>
    <w:basedOn w:val="27"/>
    <w:link w:val="23"/>
    <w:qFormat/>
    <w:uiPriority w:val="10"/>
    <w:rPr>
      <w:rFonts w:eastAsia="宋体" w:asciiTheme="majorHAnsi" w:hAnsiTheme="majorHAnsi" w:cstheme="majorBidi"/>
      <w:b/>
      <w:bCs/>
      <w:sz w:val="32"/>
      <w:szCs w:val="32"/>
    </w:rPr>
  </w:style>
  <w:style w:type="character" w:customStyle="1" w:styleId="39">
    <w:name w:val="正文文本 Char"/>
    <w:basedOn w:val="27"/>
    <w:link w:val="10"/>
    <w:semiHidden/>
    <w:qFormat/>
    <w:uiPriority w:val="99"/>
    <w:rPr>
      <w:rFonts w:ascii="Times New Roman" w:hAnsi="Times New Roman" w:eastAsia="Times New Roman" w:cs="Times New Roman"/>
      <w:szCs w:val="20"/>
    </w:rPr>
  </w:style>
  <w:style w:type="character" w:customStyle="1" w:styleId="40">
    <w:name w:val="文档结构图 Char"/>
    <w:basedOn w:val="27"/>
    <w:link w:val="8"/>
    <w:semiHidden/>
    <w:qFormat/>
    <w:uiPriority w:val="99"/>
    <w:rPr>
      <w:rFonts w:ascii="宋体" w:hAnsi="Times New Roman" w:eastAsia="宋体" w:cs="Times New Roman"/>
      <w:sz w:val="18"/>
      <w:szCs w:val="18"/>
    </w:rPr>
  </w:style>
  <w:style w:type="character" w:customStyle="1" w:styleId="41">
    <w:name w:val="批注主题 Char"/>
    <w:basedOn w:val="35"/>
    <w:link w:val="24"/>
    <w:semiHidden/>
    <w:qFormat/>
    <w:uiPriority w:val="99"/>
    <w:rPr>
      <w:rFonts w:ascii="Times New Roman" w:hAnsi="Times New Roman" w:eastAsia="Times New Roman" w:cs="Times New Roman"/>
      <w:b/>
      <w:bCs/>
      <w:szCs w:val="20"/>
    </w:rPr>
  </w:style>
  <w:style w:type="character" w:customStyle="1" w:styleId="42">
    <w:name w:val="批注框文本 Char"/>
    <w:basedOn w:val="27"/>
    <w:link w:val="14"/>
    <w:semiHidden/>
    <w:qFormat/>
    <w:uiPriority w:val="99"/>
    <w:rPr>
      <w:rFonts w:ascii="Times New Roman" w:hAnsi="Times New Roman" w:eastAsia="Times New Roman" w:cs="Times New Roman"/>
      <w:sz w:val="18"/>
      <w:szCs w:val="18"/>
    </w:rPr>
  </w:style>
  <w:style w:type="character" w:customStyle="1" w:styleId="43">
    <w:name w:val="标题2 Char"/>
    <w:link w:val="44"/>
    <w:qFormat/>
    <w:locked/>
    <w:uiPriority w:val="0"/>
    <w:rPr>
      <w:rFonts w:ascii="Times New Roman" w:hAnsi="Times New Roman" w:eastAsia="楷体_GB2312" w:cs="Times New Roman"/>
      <w:kern w:val="0"/>
      <w:sz w:val="20"/>
      <w:szCs w:val="44"/>
    </w:rPr>
  </w:style>
  <w:style w:type="paragraph" w:customStyle="1" w:styleId="44">
    <w:name w:val="标题2"/>
    <w:basedOn w:val="5"/>
    <w:link w:val="43"/>
    <w:qFormat/>
    <w:uiPriority w:val="0"/>
    <w:pPr>
      <w:widowControl w:val="0"/>
      <w:spacing w:before="0" w:after="0" w:line="412" w:lineRule="auto"/>
      <w:ind w:left="630"/>
    </w:pPr>
    <w:rPr>
      <w:rFonts w:eastAsia="楷体_GB2312"/>
      <w:b w:val="0"/>
      <w:bCs w:val="0"/>
      <w:kern w:val="0"/>
      <w:sz w:val="20"/>
      <w:szCs w:val="44"/>
    </w:rPr>
  </w:style>
  <w:style w:type="paragraph" w:customStyle="1" w:styleId="45">
    <w:name w:val="Char"/>
    <w:basedOn w:val="8"/>
    <w:qFormat/>
    <w:uiPriority w:val="99"/>
    <w:pPr>
      <w:widowControl w:val="0"/>
      <w:shd w:val="clear" w:color="auto" w:fill="000080"/>
      <w:adjustRightInd w:val="0"/>
      <w:spacing w:line="436" w:lineRule="exact"/>
      <w:ind w:left="357"/>
      <w:jc w:val="left"/>
      <w:outlineLvl w:val="3"/>
    </w:pPr>
    <w:rPr>
      <w:rFonts w:ascii="仿宋_GB2312" w:hAnsi="Calibri" w:eastAsia="仿宋_GB2312"/>
      <w:sz w:val="32"/>
      <w:szCs w:val="32"/>
    </w:rPr>
  </w:style>
  <w:style w:type="paragraph" w:styleId="46">
    <w:name w:val="List Paragraph"/>
    <w:basedOn w:val="1"/>
    <w:qFormat/>
    <w:uiPriority w:val="34"/>
    <w:pPr>
      <w:widowControl w:val="0"/>
      <w:ind w:firstLine="420" w:firstLineChars="200"/>
    </w:pPr>
    <w:rPr>
      <w:rFonts w:ascii="Calibri" w:hAnsi="Calibri" w:eastAsia="宋体" w:cs="宋体"/>
      <w:szCs w:val="24"/>
    </w:rPr>
  </w:style>
  <w:style w:type="character" w:customStyle="1" w:styleId="4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6119</Words>
  <Characters>34879</Characters>
  <Lines>290</Lines>
  <Paragraphs>81</Paragraphs>
  <TotalTime>30</TotalTime>
  <ScaleCrop>false</ScaleCrop>
  <LinksUpToDate>false</LinksUpToDate>
  <CharactersWithSpaces>40917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2021-11-05T00:11:00Z</dcterms:created>
  <dc:creator>顾苑</dc:creator>
  <cp:lastModifiedBy>ysgz</cp:lastModifiedBy>
  <cp:lastPrinted>2021-12-24T21:05:00Z</cp:lastPrinted>
  <dcterms:modified xsi:type="dcterms:W3CDTF">2022-04-15T15:46:31Z</dcterms:modified>
  <cp:revision>954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7ADA53040CCD47FA9A7385CE37EDE3B2</vt:lpwstr>
  </property>
</Properties>
</file>